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C63F8" w14:textId="77777777"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776D8482" w14:textId="77777777" w:rsidTr="00DE737D">
        <w:trPr>
          <w:trHeight w:val="538"/>
        </w:trPr>
        <w:tc>
          <w:tcPr>
            <w:tcW w:w="2438" w:type="dxa"/>
            <w:shd w:val="clear" w:color="auto" w:fill="auto"/>
          </w:tcPr>
          <w:p w14:paraId="6E33E460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57CD3B6C" w14:textId="77777777" w:rsidR="00F445B1" w:rsidRPr="00F95BC9" w:rsidRDefault="00F445B1" w:rsidP="004A6D2F">
            <w:pPr>
              <w:rPr>
                <w:rStyle w:val="Firstpagetablebold"/>
              </w:rPr>
            </w:pPr>
            <w:r w:rsidRPr="00F95BC9">
              <w:rPr>
                <w:rStyle w:val="Firstpagetablebold"/>
              </w:rPr>
              <w:t>City Executive Board</w:t>
            </w:r>
          </w:p>
        </w:tc>
      </w:tr>
      <w:tr w:rsidR="00CE544A" w:rsidRPr="00975B07" w14:paraId="30446DA2" w14:textId="77777777" w:rsidTr="005F7F7E">
        <w:tc>
          <w:tcPr>
            <w:tcW w:w="2438" w:type="dxa"/>
            <w:shd w:val="clear" w:color="auto" w:fill="auto"/>
          </w:tcPr>
          <w:p w14:paraId="3F816D1B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634384A4" w14:textId="7F481543" w:rsidR="00F445B1" w:rsidRPr="001356F1" w:rsidRDefault="003B7DA1" w:rsidP="00DE737D">
            <w:pPr>
              <w:rPr>
                <w:b/>
              </w:rPr>
            </w:pPr>
            <w:r>
              <w:rPr>
                <w:rStyle w:val="Firstpagetablebold"/>
              </w:rPr>
              <w:t>Date of the meeting</w:t>
            </w:r>
            <w:r w:rsidR="00A4348C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="00DE737D">
              <w:rPr>
                <w:rStyle w:val="Firstpagetablebold"/>
              </w:rPr>
              <w:t>20</w:t>
            </w:r>
            <w:r w:rsidR="00DE737D" w:rsidRPr="00DE737D">
              <w:rPr>
                <w:rStyle w:val="Firstpagetablebold"/>
                <w:vertAlign w:val="superscript"/>
              </w:rPr>
              <w:t>th</w:t>
            </w:r>
            <w:r w:rsidR="00DE737D">
              <w:rPr>
                <w:rStyle w:val="Firstpagetablebold"/>
              </w:rPr>
              <w:t xml:space="preserve"> March 2018</w:t>
            </w:r>
          </w:p>
        </w:tc>
      </w:tr>
      <w:tr w:rsidR="00CE544A" w:rsidRPr="00975B07" w14:paraId="1C66CBBE" w14:textId="77777777" w:rsidTr="005F7F7E">
        <w:tc>
          <w:tcPr>
            <w:tcW w:w="2438" w:type="dxa"/>
            <w:shd w:val="clear" w:color="auto" w:fill="auto"/>
          </w:tcPr>
          <w:p w14:paraId="4C2EA276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341B7511" w14:textId="77777777" w:rsidR="00F445B1" w:rsidRPr="001356F1" w:rsidRDefault="00A84422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Electoral Registration Officer</w:t>
            </w:r>
          </w:p>
        </w:tc>
      </w:tr>
      <w:tr w:rsidR="00CE544A" w:rsidRPr="00975B07" w14:paraId="3074D4DF" w14:textId="77777777" w:rsidTr="005F7F7E">
        <w:tc>
          <w:tcPr>
            <w:tcW w:w="2438" w:type="dxa"/>
            <w:shd w:val="clear" w:color="auto" w:fill="auto"/>
          </w:tcPr>
          <w:p w14:paraId="2EA30533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3F0B52D0" w14:textId="77777777" w:rsidR="00F445B1" w:rsidRPr="001356F1" w:rsidRDefault="00A84422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City Ward Boundary Review 2018</w:t>
            </w:r>
          </w:p>
        </w:tc>
      </w:tr>
    </w:tbl>
    <w:p w14:paraId="0D174AA7" w14:textId="77777777"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14:paraId="41259F6A" w14:textId="77777777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14:paraId="5197A1C3" w14:textId="77777777"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14:paraId="3D2CC494" w14:textId="77777777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B617CB9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45FAAF88" w14:textId="30DA0A1E" w:rsidR="00D5547E" w:rsidRPr="001356F1" w:rsidRDefault="00A84422" w:rsidP="00AF0467">
            <w:r>
              <w:t xml:space="preserve">To </w:t>
            </w:r>
            <w:r w:rsidR="00E25553">
              <w:t>brief the City Executive Board on the ward boundary review and ask it</w:t>
            </w:r>
            <w:r>
              <w:t xml:space="preserve"> to recommend a </w:t>
            </w:r>
            <w:r w:rsidR="00AF0467">
              <w:t>ward scheme</w:t>
            </w:r>
            <w:r>
              <w:t xml:space="preserve"> to the Local Government Boundary Commission for England</w:t>
            </w:r>
          </w:p>
        </w:tc>
      </w:tr>
      <w:tr w:rsidR="00D5547E" w14:paraId="51A710AC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797E493D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CCCA371" w14:textId="77777777" w:rsidR="00D5547E" w:rsidRPr="001356F1" w:rsidRDefault="00D5547E" w:rsidP="00A84422">
            <w:r w:rsidRPr="001356F1">
              <w:t xml:space="preserve">Yes </w:t>
            </w:r>
          </w:p>
        </w:tc>
      </w:tr>
      <w:tr w:rsidR="00D5547E" w14:paraId="5052F25D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1137829C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99A5245" w14:textId="25BE2258" w:rsidR="00D5547E" w:rsidRPr="001356F1" w:rsidRDefault="00D5547E" w:rsidP="00163A03">
            <w:r w:rsidRPr="001356F1">
              <w:t xml:space="preserve">Councillor </w:t>
            </w:r>
            <w:r w:rsidR="00163A03">
              <w:t>Susan Brown, Leader</w:t>
            </w:r>
          </w:p>
        </w:tc>
      </w:tr>
      <w:tr w:rsidR="0080749A" w14:paraId="710DAB03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928B6B3" w14:textId="77777777"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9F5AD7F" w14:textId="77777777" w:rsidR="0080749A" w:rsidRPr="001356F1" w:rsidRDefault="00A84422" w:rsidP="005F7F7E">
            <w:r>
              <w:t>None</w:t>
            </w:r>
          </w:p>
        </w:tc>
      </w:tr>
      <w:tr w:rsidR="00D5547E" w14:paraId="5B17572A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3466960A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E96D286" w14:textId="77777777" w:rsidR="00D5547E" w:rsidRPr="001356F1" w:rsidRDefault="00A84422" w:rsidP="005F7F7E">
            <w:r>
              <w:t>None</w:t>
            </w:r>
          </w:p>
        </w:tc>
      </w:tr>
      <w:tr w:rsidR="005F7F7E" w:rsidRPr="00975B07" w14:paraId="72844B94" w14:textId="77777777" w:rsidTr="00A4348C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14:paraId="2977C318" w14:textId="19CED785" w:rsidR="005F7F7E" w:rsidRPr="00975B07" w:rsidRDefault="000A1456" w:rsidP="000A1456">
            <w:proofErr w:type="spellStart"/>
            <w:r>
              <w:rPr>
                <w:rStyle w:val="Firstpagetablebold"/>
              </w:rPr>
              <w:t>Recommendation</w:t>
            </w:r>
            <w:r w:rsidR="005F7F7E">
              <w:rPr>
                <w:rStyle w:val="Firstpagetablebold"/>
              </w:rPr>
              <w:t>:</w:t>
            </w:r>
            <w:r w:rsidR="005F7F7E" w:rsidRPr="000A1456">
              <w:rPr>
                <w:rStyle w:val="Firstpagetablebold"/>
                <w:b w:val="0"/>
              </w:rPr>
              <w:t>That</w:t>
            </w:r>
            <w:proofErr w:type="spellEnd"/>
            <w:r w:rsidR="005F7F7E" w:rsidRPr="000A1456">
              <w:rPr>
                <w:rStyle w:val="Firstpagetablebold"/>
                <w:b w:val="0"/>
              </w:rPr>
              <w:t xml:space="preserve"> the City Executive Board resolves to:</w:t>
            </w:r>
          </w:p>
        </w:tc>
      </w:tr>
      <w:tr w:rsidR="0030208D" w:rsidRPr="00975B07" w14:paraId="1A26B8BE" w14:textId="77777777" w:rsidTr="00A4348C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58546121" w14:textId="7D26CA85" w:rsidR="0030208D" w:rsidRPr="00975B07" w:rsidRDefault="0030208D" w:rsidP="004A6D2F"/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81F0C46" w14:textId="5D56EED9" w:rsidR="0030208D" w:rsidRPr="001356F1" w:rsidRDefault="00F41CBE" w:rsidP="00216CA1">
            <w:r>
              <w:rPr>
                <w:rStyle w:val="Firstpagetablebold"/>
              </w:rPr>
              <w:t>Propose</w:t>
            </w:r>
            <w:r w:rsidR="0030208D" w:rsidRPr="001356F1">
              <w:t xml:space="preserve"> </w:t>
            </w:r>
            <w:r w:rsidR="00AF0467">
              <w:t>a new scheme of wards based</w:t>
            </w:r>
            <w:r w:rsidR="00216CA1">
              <w:t xml:space="preserve"> on</w:t>
            </w:r>
            <w:r w:rsidR="00AF0467">
              <w:t xml:space="preserve"> a council size</w:t>
            </w:r>
            <w:r w:rsidR="00A4348C">
              <w:t xml:space="preserve"> of 48</w:t>
            </w:r>
            <w:r w:rsidR="00C53EB7">
              <w:t xml:space="preserve"> councillors</w:t>
            </w:r>
            <w:r w:rsidR="00A4348C">
              <w:t xml:space="preserve"> to the Local Government Boundary Commission for England.</w:t>
            </w:r>
          </w:p>
        </w:tc>
      </w:tr>
    </w:tbl>
    <w:p w14:paraId="5A8A064C" w14:textId="77777777"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14:paraId="039E82C1" w14:textId="77777777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207111" w14:textId="77777777"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14:paraId="514CCF26" w14:textId="77777777" w:rsidTr="00E075BC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30AD70A" w14:textId="77777777"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1E88BEE" w14:textId="46914468" w:rsidR="00ED5860" w:rsidRPr="001356F1" w:rsidRDefault="00487872" w:rsidP="00AF0467">
            <w:r>
              <w:t>City Boundary Working Group Submission</w:t>
            </w:r>
            <w:r w:rsidR="00AF0467">
              <w:t xml:space="preserve"> on a ward scheme</w:t>
            </w:r>
          </w:p>
        </w:tc>
      </w:tr>
      <w:tr w:rsidR="00ED5860" w:rsidRPr="00975B07" w14:paraId="77B1DF46" w14:textId="77777777" w:rsidTr="00216CA1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AB3CCA9" w14:textId="77777777" w:rsidR="00ED5860" w:rsidRPr="00975B07" w:rsidRDefault="0030208D" w:rsidP="004A6D2F">
            <w:r w:rsidRPr="00975B07">
              <w:t>Appendix 2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EBF306F" w14:textId="43B14C6F" w:rsidR="00ED5860" w:rsidRPr="001356F1" w:rsidRDefault="00216CA1" w:rsidP="004A6D2F">
            <w:r>
              <w:t>Indicative A4 map</w:t>
            </w:r>
          </w:p>
        </w:tc>
      </w:tr>
      <w:tr w:rsidR="00216CA1" w:rsidRPr="00975B07" w14:paraId="5AA65D68" w14:textId="77777777" w:rsidTr="00E075BC">
        <w:tc>
          <w:tcPr>
            <w:tcW w:w="243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D54FC2B" w14:textId="3B5A370C" w:rsidR="00216CA1" w:rsidRPr="00975B07" w:rsidRDefault="00216CA1" w:rsidP="004A6D2F">
            <w:r>
              <w:t>Appendix 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205AE8EC" w14:textId="0EFEA027" w:rsidR="00216CA1" w:rsidRDefault="00216CA1" w:rsidP="004A6D2F">
            <w:r>
              <w:t>Risk Register</w:t>
            </w:r>
          </w:p>
        </w:tc>
      </w:tr>
    </w:tbl>
    <w:p w14:paraId="7DCF6F2C" w14:textId="77777777" w:rsidR="0040736F" w:rsidRPr="001356F1" w:rsidRDefault="00F66DCA" w:rsidP="004A6D2F">
      <w:pPr>
        <w:pStyle w:val="Heading1"/>
      </w:pPr>
      <w:r w:rsidRPr="001356F1">
        <w:t xml:space="preserve">Introduction </w:t>
      </w:r>
    </w:p>
    <w:p w14:paraId="19E8D6CF" w14:textId="472F3F5A" w:rsidR="00E87F7A" w:rsidRDefault="00AF0467" w:rsidP="005570B5">
      <w:pPr>
        <w:pStyle w:val="ListParagraph"/>
      </w:pPr>
      <w:r>
        <w:t>At its meeting on 27</w:t>
      </w:r>
      <w:r w:rsidRPr="00AF0467">
        <w:rPr>
          <w:vertAlign w:val="superscript"/>
        </w:rPr>
        <w:t>th</w:t>
      </w:r>
      <w:r>
        <w:t xml:space="preserve"> November</w:t>
      </w:r>
      <w:r w:rsidR="009031C3">
        <w:t xml:space="preserve"> 2017</w:t>
      </w:r>
      <w:r>
        <w:t xml:space="preserve"> the </w:t>
      </w:r>
      <w:r w:rsidR="00345823">
        <w:t xml:space="preserve">City Executive </w:t>
      </w:r>
      <w:r>
        <w:t xml:space="preserve">Board agreed to recommend a council-size of 48 to the Local Government Boundary Commission. The Commission accepted the Council’s recommendation and </w:t>
      </w:r>
      <w:r w:rsidR="00163A03">
        <w:t>now invites any interested parties</w:t>
      </w:r>
      <w:r>
        <w:t xml:space="preserve"> to </w:t>
      </w:r>
      <w:r w:rsidR="00216CA1">
        <w:t>submit ward schemes based on that</w:t>
      </w:r>
      <w:r>
        <w:t xml:space="preserve"> total number.</w:t>
      </w:r>
    </w:p>
    <w:p w14:paraId="1A60B60C" w14:textId="77777777" w:rsidR="009B75AA" w:rsidRDefault="009B75AA" w:rsidP="00BD7680">
      <w:pPr>
        <w:pStyle w:val="Heading1"/>
      </w:pPr>
    </w:p>
    <w:p w14:paraId="0B349E70" w14:textId="77777777" w:rsidR="009B75AA" w:rsidRDefault="009B75AA" w:rsidP="00BD7680">
      <w:pPr>
        <w:pStyle w:val="Heading1"/>
      </w:pPr>
    </w:p>
    <w:p w14:paraId="22B09088" w14:textId="77777777" w:rsidR="000A1456" w:rsidRPr="000A1456" w:rsidRDefault="000A1456" w:rsidP="000A1456"/>
    <w:p w14:paraId="24180412" w14:textId="77777777" w:rsidR="00BD7680" w:rsidRDefault="00BD7680" w:rsidP="00BD7680">
      <w:pPr>
        <w:pStyle w:val="Heading1"/>
      </w:pPr>
      <w:r>
        <w:lastRenderedPageBreak/>
        <w:t>Stages of the review</w:t>
      </w:r>
    </w:p>
    <w:p w14:paraId="0E3F972B" w14:textId="77777777" w:rsidR="00BD7680" w:rsidRDefault="00BD7680" w:rsidP="00BD7680">
      <w:pPr>
        <w:pStyle w:val="ListParagraph"/>
        <w:numPr>
          <w:ilvl w:val="0"/>
          <w:numId w:val="0"/>
        </w:numPr>
        <w:ind w:left="426"/>
      </w:pPr>
    </w:p>
    <w:p w14:paraId="42E92EC5" w14:textId="48C8E698" w:rsidR="00C64BB6" w:rsidRDefault="00BD7680" w:rsidP="00C64BB6">
      <w:pPr>
        <w:pStyle w:val="ListParagraph"/>
      </w:pPr>
      <w:r>
        <w:t>The review is carried out</w:t>
      </w:r>
      <w:r w:rsidR="00C64BB6" w:rsidRPr="00C64BB6">
        <w:t xml:space="preserve"> </w:t>
      </w:r>
      <w:r w:rsidR="00C64BB6">
        <w:t>under the Local Democracy, Economic Development and Construction Act 20</w:t>
      </w:r>
      <w:r w:rsidR="003336FC">
        <w:t xml:space="preserve">09 and is split into six stages. </w:t>
      </w:r>
    </w:p>
    <w:p w14:paraId="2839B45C" w14:textId="2604662F" w:rsidR="003336FC" w:rsidRDefault="00094291" w:rsidP="00C64BB6">
      <w:pPr>
        <w:pStyle w:val="ListParagraph"/>
      </w:pPr>
      <w:r>
        <w:t>After</w:t>
      </w:r>
      <w:r w:rsidR="003336FC">
        <w:t xml:space="preserve"> Stage One</w:t>
      </w:r>
      <w:r>
        <w:t xml:space="preserve"> had started</w:t>
      </w:r>
      <w:r w:rsidR="003336FC">
        <w:t xml:space="preserve"> it was discovered that the electorate statistics published on the Commission’s website were </w:t>
      </w:r>
      <w:r w:rsidR="009105A5">
        <w:t xml:space="preserve">not accurate. </w:t>
      </w:r>
      <w:r>
        <w:t xml:space="preserve">They had included overseas electors which are not part of this review as they cannot vote in local elections. </w:t>
      </w:r>
      <w:r w:rsidR="009105A5">
        <w:t>These have now been corrected and the Commission has decided to extend the timetable by a short period. Below is the revised timetable.</w:t>
      </w:r>
    </w:p>
    <w:p w14:paraId="4B7AE23C" w14:textId="77777777" w:rsidR="00094291" w:rsidRDefault="00094291" w:rsidP="00094291">
      <w:pPr>
        <w:pStyle w:val="ListParagraph"/>
        <w:numPr>
          <w:ilvl w:val="0"/>
          <w:numId w:val="0"/>
        </w:numPr>
        <w:ind w:left="360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1"/>
        <w:gridCol w:w="2410"/>
        <w:gridCol w:w="5245"/>
      </w:tblGrid>
      <w:tr w:rsidR="00BD7680" w14:paraId="342C1624" w14:textId="77777777" w:rsidTr="008E410F">
        <w:tc>
          <w:tcPr>
            <w:tcW w:w="1951" w:type="dxa"/>
            <w:shd w:val="clear" w:color="auto" w:fill="BFBFBF" w:themeFill="background1" w:themeFillShade="BF"/>
          </w:tcPr>
          <w:p w14:paraId="04C61F98" w14:textId="77777777" w:rsidR="00BD7680" w:rsidRDefault="00BD7680" w:rsidP="008E410F">
            <w:pPr>
              <w:jc w:val="center"/>
            </w:pPr>
            <w:r>
              <w:t>Stage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FB6C9AF" w14:textId="77777777" w:rsidR="00BD7680" w:rsidRDefault="00BD7680" w:rsidP="008E410F">
            <w:pPr>
              <w:jc w:val="center"/>
            </w:pPr>
            <w:r>
              <w:t>Timing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626412A4" w14:textId="77777777" w:rsidR="00BD7680" w:rsidRDefault="00BD7680" w:rsidP="008E410F">
            <w:pPr>
              <w:jc w:val="center"/>
            </w:pPr>
            <w:r>
              <w:t>Function</w:t>
            </w:r>
          </w:p>
        </w:tc>
      </w:tr>
      <w:tr w:rsidR="00BD7680" w14:paraId="313E4758" w14:textId="77777777" w:rsidTr="008E410F">
        <w:tc>
          <w:tcPr>
            <w:tcW w:w="1951" w:type="dxa"/>
          </w:tcPr>
          <w:p w14:paraId="1A5A2086" w14:textId="77777777" w:rsidR="00BD7680" w:rsidRDefault="00BD7680" w:rsidP="008E410F">
            <w:r>
              <w:t>Preliminary</w:t>
            </w:r>
          </w:p>
        </w:tc>
        <w:tc>
          <w:tcPr>
            <w:tcW w:w="2410" w:type="dxa"/>
          </w:tcPr>
          <w:p w14:paraId="0E9E6610" w14:textId="77777777" w:rsidR="00BD7680" w:rsidRDefault="00BD7680" w:rsidP="008E410F">
            <w:r>
              <w:t>June–December 2017</w:t>
            </w:r>
          </w:p>
        </w:tc>
        <w:tc>
          <w:tcPr>
            <w:tcW w:w="5245" w:type="dxa"/>
          </w:tcPr>
          <w:p w14:paraId="6DBE1BD2" w14:textId="77777777" w:rsidR="00BD7680" w:rsidRDefault="00BD7680" w:rsidP="008E410F">
            <w:r>
              <w:t>Now complete.</w:t>
            </w:r>
          </w:p>
        </w:tc>
      </w:tr>
      <w:tr w:rsidR="00BD7680" w14:paraId="57BB001B" w14:textId="77777777" w:rsidTr="008E410F">
        <w:tc>
          <w:tcPr>
            <w:tcW w:w="1951" w:type="dxa"/>
          </w:tcPr>
          <w:p w14:paraId="3D43BEC8" w14:textId="77777777" w:rsidR="00BD7680" w:rsidRDefault="00BD7680" w:rsidP="008E410F">
            <w:r>
              <w:t>Stage One</w:t>
            </w:r>
          </w:p>
        </w:tc>
        <w:tc>
          <w:tcPr>
            <w:tcW w:w="2410" w:type="dxa"/>
          </w:tcPr>
          <w:p w14:paraId="6AFAC0E4" w14:textId="1C71A1AF" w:rsidR="00BD7680" w:rsidRDefault="00BD7680" w:rsidP="009105A5">
            <w:r>
              <w:t>9</w:t>
            </w:r>
            <w:r w:rsidRPr="0056413F">
              <w:rPr>
                <w:vertAlign w:val="superscript"/>
              </w:rPr>
              <w:t>th</w:t>
            </w:r>
            <w:r>
              <w:t xml:space="preserve"> Jan-</w:t>
            </w:r>
            <w:r w:rsidR="009105A5">
              <w:t>2</w:t>
            </w:r>
            <w:r w:rsidR="009105A5" w:rsidRPr="009105A5">
              <w:rPr>
                <w:vertAlign w:val="superscript"/>
              </w:rPr>
              <w:t>nd</w:t>
            </w:r>
            <w:r w:rsidR="009105A5">
              <w:t xml:space="preserve"> April</w:t>
            </w:r>
            <w:r>
              <w:t xml:space="preserve"> 2018</w:t>
            </w:r>
          </w:p>
        </w:tc>
        <w:tc>
          <w:tcPr>
            <w:tcW w:w="5245" w:type="dxa"/>
          </w:tcPr>
          <w:p w14:paraId="30C6DA8C" w14:textId="77777777" w:rsidR="00BD7680" w:rsidRDefault="00BD7680" w:rsidP="008E410F">
            <w:r>
              <w:t>The Commission will publish a council size it is minded to recommend and invite ward proposals based on that council size.</w:t>
            </w:r>
          </w:p>
        </w:tc>
      </w:tr>
      <w:tr w:rsidR="00BD7680" w14:paraId="304CC35D" w14:textId="77777777" w:rsidTr="008E410F">
        <w:tc>
          <w:tcPr>
            <w:tcW w:w="1951" w:type="dxa"/>
          </w:tcPr>
          <w:p w14:paraId="3BFFDE15" w14:textId="77777777" w:rsidR="00BD7680" w:rsidRDefault="00BD7680" w:rsidP="008E410F">
            <w:r>
              <w:t>Stage Two</w:t>
            </w:r>
          </w:p>
        </w:tc>
        <w:tc>
          <w:tcPr>
            <w:tcW w:w="2410" w:type="dxa"/>
          </w:tcPr>
          <w:p w14:paraId="61F79009" w14:textId="2D322945" w:rsidR="00BD7680" w:rsidRDefault="009105A5" w:rsidP="009105A5">
            <w:r>
              <w:t>5</w:t>
            </w:r>
            <w:r w:rsidRPr="009105A5">
              <w:rPr>
                <w:vertAlign w:val="superscript"/>
              </w:rPr>
              <w:t>th</w:t>
            </w:r>
            <w:r>
              <w:t xml:space="preserve"> June</w:t>
            </w:r>
            <w:r w:rsidR="00BD7680">
              <w:t>-</w:t>
            </w:r>
            <w:r>
              <w:t>13</w:t>
            </w:r>
            <w:r w:rsidR="00BD7680" w:rsidRPr="00E25553">
              <w:rPr>
                <w:vertAlign w:val="superscript"/>
              </w:rPr>
              <w:t>th</w:t>
            </w:r>
            <w:r w:rsidR="00BD7680">
              <w:t xml:space="preserve"> </w:t>
            </w:r>
            <w:r>
              <w:t>August</w:t>
            </w:r>
            <w:r w:rsidR="00BD7680">
              <w:t xml:space="preserve"> 2018</w:t>
            </w:r>
          </w:p>
        </w:tc>
        <w:tc>
          <w:tcPr>
            <w:tcW w:w="5245" w:type="dxa"/>
          </w:tcPr>
          <w:p w14:paraId="715DA340" w14:textId="77777777" w:rsidR="00BD7680" w:rsidRDefault="00BD7680" w:rsidP="008E410F">
            <w:r>
              <w:t>The Commission will publish a draft ward scheme for consultation.</w:t>
            </w:r>
          </w:p>
        </w:tc>
      </w:tr>
      <w:tr w:rsidR="00BD7680" w14:paraId="0CE95500" w14:textId="77777777" w:rsidTr="008E410F">
        <w:tc>
          <w:tcPr>
            <w:tcW w:w="1951" w:type="dxa"/>
          </w:tcPr>
          <w:p w14:paraId="0BEF9D08" w14:textId="77777777" w:rsidR="00BD7680" w:rsidRDefault="00BD7680" w:rsidP="008E410F">
            <w:r>
              <w:t>Stage Three</w:t>
            </w:r>
          </w:p>
        </w:tc>
        <w:tc>
          <w:tcPr>
            <w:tcW w:w="2410" w:type="dxa"/>
          </w:tcPr>
          <w:p w14:paraId="0267F202" w14:textId="4866CA8B" w:rsidR="00BD7680" w:rsidRDefault="009105A5" w:rsidP="008E410F">
            <w:r>
              <w:t>2</w:t>
            </w:r>
            <w:r w:rsidRPr="009105A5">
              <w:rPr>
                <w:vertAlign w:val="superscript"/>
              </w:rPr>
              <w:t>nd</w:t>
            </w:r>
            <w:r>
              <w:t xml:space="preserve"> October</w:t>
            </w:r>
            <w:r w:rsidR="00BD7680">
              <w:t xml:space="preserve"> 2018</w:t>
            </w:r>
          </w:p>
        </w:tc>
        <w:tc>
          <w:tcPr>
            <w:tcW w:w="5245" w:type="dxa"/>
          </w:tcPr>
          <w:p w14:paraId="68BBEFBF" w14:textId="77777777" w:rsidR="00BD7680" w:rsidRDefault="00BD7680" w:rsidP="008E410F">
            <w:r>
              <w:t>The Commission will publish its final recommendations.</w:t>
            </w:r>
          </w:p>
        </w:tc>
      </w:tr>
      <w:tr w:rsidR="00BD7680" w14:paraId="18C05C58" w14:textId="77777777" w:rsidTr="008E410F">
        <w:tc>
          <w:tcPr>
            <w:tcW w:w="1951" w:type="dxa"/>
          </w:tcPr>
          <w:p w14:paraId="6E6E869D" w14:textId="77777777" w:rsidR="00BD7680" w:rsidRDefault="00BD7680" w:rsidP="008E410F">
            <w:r>
              <w:t>Stage Four</w:t>
            </w:r>
          </w:p>
        </w:tc>
        <w:tc>
          <w:tcPr>
            <w:tcW w:w="2410" w:type="dxa"/>
          </w:tcPr>
          <w:p w14:paraId="212F15EB" w14:textId="77777777" w:rsidR="00BD7680" w:rsidRDefault="00BD7680" w:rsidP="008E410F">
            <w:r>
              <w:t>October-December 2018</w:t>
            </w:r>
          </w:p>
        </w:tc>
        <w:tc>
          <w:tcPr>
            <w:tcW w:w="5245" w:type="dxa"/>
          </w:tcPr>
          <w:p w14:paraId="2668ACF8" w14:textId="77777777" w:rsidR="00BD7680" w:rsidRDefault="00BD7680" w:rsidP="008E410F">
            <w:r>
              <w:t>The Commission’s draft order giving effect to its recommendations is laid in both houses of parliament. Parliament can either accept or reject the recommendations. It cannot modify them.</w:t>
            </w:r>
          </w:p>
        </w:tc>
      </w:tr>
      <w:tr w:rsidR="00BD7680" w14:paraId="59E64D8B" w14:textId="77777777" w:rsidTr="008E410F">
        <w:tc>
          <w:tcPr>
            <w:tcW w:w="1951" w:type="dxa"/>
          </w:tcPr>
          <w:p w14:paraId="26A362ED" w14:textId="77777777" w:rsidR="00BD7680" w:rsidRDefault="00BD7680" w:rsidP="008E410F">
            <w:r>
              <w:t>Stage Five</w:t>
            </w:r>
          </w:p>
        </w:tc>
        <w:tc>
          <w:tcPr>
            <w:tcW w:w="2410" w:type="dxa"/>
          </w:tcPr>
          <w:p w14:paraId="6516F876" w14:textId="77777777" w:rsidR="00BD7680" w:rsidRDefault="00BD7680" w:rsidP="008E410F">
            <w:r>
              <w:t>May 2020</w:t>
            </w:r>
          </w:p>
        </w:tc>
        <w:tc>
          <w:tcPr>
            <w:tcW w:w="5245" w:type="dxa"/>
          </w:tcPr>
          <w:p w14:paraId="3D46A2F4" w14:textId="77777777" w:rsidR="00BD7680" w:rsidRDefault="00BD7680" w:rsidP="008E410F">
            <w:r>
              <w:t>The new electoral arrangements will come in to force.</w:t>
            </w:r>
          </w:p>
        </w:tc>
      </w:tr>
    </w:tbl>
    <w:p w14:paraId="42ECCEB8" w14:textId="77777777" w:rsidR="00BD7680" w:rsidRDefault="00BD7680" w:rsidP="00BD7680"/>
    <w:p w14:paraId="7C25A72A" w14:textId="1668BF2D" w:rsidR="00216CA1" w:rsidRDefault="00BD7680" w:rsidP="0056413F">
      <w:pPr>
        <w:pStyle w:val="ListParagraph"/>
      </w:pPr>
      <w:r>
        <w:t xml:space="preserve">We are now in </w:t>
      </w:r>
      <w:r w:rsidR="00094291">
        <w:t>S</w:t>
      </w:r>
      <w:r>
        <w:t xml:space="preserve">tage One. </w:t>
      </w:r>
    </w:p>
    <w:p w14:paraId="2F2ED54C" w14:textId="77777777" w:rsidR="000A1456" w:rsidRDefault="000A1456" w:rsidP="000A1456">
      <w:pPr>
        <w:pStyle w:val="ListParagraph"/>
        <w:numPr>
          <w:ilvl w:val="0"/>
          <w:numId w:val="0"/>
        </w:numPr>
        <w:ind w:left="360"/>
      </w:pPr>
    </w:p>
    <w:p w14:paraId="79453F33" w14:textId="77777777" w:rsidR="00E25553" w:rsidRPr="00E33557" w:rsidRDefault="00E25553" w:rsidP="0056413F">
      <w:pPr>
        <w:rPr>
          <w:b/>
        </w:rPr>
      </w:pPr>
      <w:r w:rsidRPr="00E33557">
        <w:rPr>
          <w:b/>
        </w:rPr>
        <w:t>Cross-party working group</w:t>
      </w:r>
    </w:p>
    <w:p w14:paraId="70966D5A" w14:textId="4F1EBBA3" w:rsidR="00E87F7A" w:rsidRDefault="00AF0467" w:rsidP="005570B5">
      <w:pPr>
        <w:pStyle w:val="bParagraphtext"/>
      </w:pPr>
      <w:r>
        <w:t>As the Board knows a</w:t>
      </w:r>
      <w:r w:rsidR="00E25553">
        <w:t xml:space="preserve"> cross</w:t>
      </w:r>
      <w:r w:rsidR="00E33557">
        <w:t xml:space="preserve">-party member working group has been set up in order to make recommendations. The Working Group has met several times and has </w:t>
      </w:r>
      <w:r w:rsidR="00216CA1">
        <w:t>agreed a</w:t>
      </w:r>
      <w:r w:rsidR="00D1350D">
        <w:t xml:space="preserve"> </w:t>
      </w:r>
      <w:r w:rsidR="00E33557">
        <w:t>recommend</w:t>
      </w:r>
      <w:r w:rsidR="00D1350D">
        <w:t>ed</w:t>
      </w:r>
      <w:r w:rsidR="00E33557">
        <w:t xml:space="preserve"> </w:t>
      </w:r>
      <w:r>
        <w:t>ward scheme. The Working Group was not unanimous but the scheme as proposed is supported by the Labour and Liberal Democrat groups.</w:t>
      </w:r>
    </w:p>
    <w:p w14:paraId="6AA57D9B" w14:textId="77777777" w:rsidR="000A1456" w:rsidRDefault="000A1456" w:rsidP="000A1456">
      <w:pPr>
        <w:pStyle w:val="bParagraphtext"/>
        <w:numPr>
          <w:ilvl w:val="0"/>
          <w:numId w:val="0"/>
        </w:numPr>
        <w:ind w:left="360" w:hanging="360"/>
      </w:pPr>
    </w:p>
    <w:p w14:paraId="69D09918" w14:textId="77777777" w:rsidR="000A1456" w:rsidRDefault="000A1456" w:rsidP="000A1456">
      <w:pPr>
        <w:pStyle w:val="bParagraphtext"/>
        <w:numPr>
          <w:ilvl w:val="0"/>
          <w:numId w:val="0"/>
        </w:numPr>
        <w:ind w:left="360" w:hanging="360"/>
      </w:pPr>
    </w:p>
    <w:p w14:paraId="028E1C3E" w14:textId="77777777" w:rsidR="000A1456" w:rsidRDefault="000A1456" w:rsidP="000A1456">
      <w:pPr>
        <w:pStyle w:val="bParagraphtext"/>
        <w:numPr>
          <w:ilvl w:val="0"/>
          <w:numId w:val="0"/>
        </w:numPr>
        <w:ind w:left="360" w:hanging="360"/>
      </w:pPr>
    </w:p>
    <w:p w14:paraId="20DE26EE" w14:textId="77777777" w:rsidR="000A1456" w:rsidRDefault="000A1456" w:rsidP="000A1456">
      <w:pPr>
        <w:pStyle w:val="bParagraphtext"/>
        <w:numPr>
          <w:ilvl w:val="0"/>
          <w:numId w:val="0"/>
        </w:numPr>
        <w:ind w:left="360" w:hanging="360"/>
      </w:pPr>
    </w:p>
    <w:p w14:paraId="058838FB" w14:textId="77777777" w:rsidR="000A1456" w:rsidRDefault="000A1456" w:rsidP="000A1456">
      <w:pPr>
        <w:pStyle w:val="bParagraphtext"/>
        <w:numPr>
          <w:ilvl w:val="0"/>
          <w:numId w:val="0"/>
        </w:numPr>
        <w:ind w:left="360" w:hanging="360"/>
      </w:pPr>
    </w:p>
    <w:p w14:paraId="55FEA85C" w14:textId="77777777" w:rsidR="000A1456" w:rsidRDefault="000A1456" w:rsidP="000A1456">
      <w:pPr>
        <w:pStyle w:val="bParagraphtext"/>
        <w:numPr>
          <w:ilvl w:val="0"/>
          <w:numId w:val="0"/>
        </w:numPr>
        <w:ind w:left="360" w:hanging="360"/>
      </w:pPr>
    </w:p>
    <w:p w14:paraId="258DAD96" w14:textId="77777777" w:rsidR="000A1456" w:rsidRDefault="000A1456" w:rsidP="000A1456">
      <w:pPr>
        <w:pStyle w:val="bParagraphtext"/>
        <w:numPr>
          <w:ilvl w:val="0"/>
          <w:numId w:val="0"/>
        </w:numPr>
        <w:ind w:left="360" w:hanging="360"/>
      </w:pPr>
    </w:p>
    <w:p w14:paraId="3954C2E8" w14:textId="3C227F5D" w:rsidR="00BD7680" w:rsidRDefault="00BD7680" w:rsidP="00BD7680">
      <w:pPr>
        <w:pStyle w:val="bParagraphtext"/>
        <w:numPr>
          <w:ilvl w:val="0"/>
          <w:numId w:val="0"/>
        </w:numPr>
        <w:ind w:left="426"/>
      </w:pPr>
      <w:r>
        <w:t>Below are the new wards e</w:t>
      </w:r>
      <w:r w:rsidR="009B75AA">
        <w:t xml:space="preserve">lectorate figures and suggested </w:t>
      </w:r>
      <w:r>
        <w:t>names:</w:t>
      </w:r>
    </w:p>
    <w:tbl>
      <w:tblPr>
        <w:tblW w:w="10166" w:type="dxa"/>
        <w:jc w:val="center"/>
        <w:tblLook w:val="04A0" w:firstRow="1" w:lastRow="0" w:firstColumn="1" w:lastColumn="0" w:noHBand="0" w:noVBand="1"/>
      </w:tblPr>
      <w:tblGrid>
        <w:gridCol w:w="2808"/>
        <w:gridCol w:w="2019"/>
        <w:gridCol w:w="1417"/>
        <w:gridCol w:w="2268"/>
        <w:gridCol w:w="1654"/>
      </w:tblGrid>
      <w:tr w:rsidR="009F5EE8" w:rsidRPr="00BD7680" w14:paraId="217C115A" w14:textId="77777777" w:rsidTr="009F5EE8">
        <w:trPr>
          <w:trHeight w:val="78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F0D8B28" w14:textId="630FAF46" w:rsidR="009F5EE8" w:rsidRPr="00330CA5" w:rsidRDefault="009F5EE8" w:rsidP="009F5EE8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330CA5">
              <w:rPr>
                <w:rFonts w:cs="Arial"/>
                <w:b/>
                <w:bCs/>
              </w:rPr>
              <w:t>Area/Ward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14:paraId="3C743F31" w14:textId="77777777" w:rsidR="009F5EE8" w:rsidRPr="00330CA5" w:rsidRDefault="009F5EE8" w:rsidP="009F5EE8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330CA5">
              <w:rPr>
                <w:rFonts w:cs="Arial"/>
                <w:b/>
                <w:bCs/>
              </w:rPr>
              <w:t>Sum of Jul</w:t>
            </w:r>
            <w:r>
              <w:rPr>
                <w:rFonts w:cs="Arial"/>
                <w:b/>
                <w:bCs/>
              </w:rPr>
              <w:t xml:space="preserve">y </w:t>
            </w:r>
            <w:r w:rsidRPr="00330CA5">
              <w:rPr>
                <w:rFonts w:cs="Arial"/>
                <w:b/>
                <w:bCs/>
              </w:rPr>
              <w:t>17</w:t>
            </w:r>
            <w:r>
              <w:rPr>
                <w:rFonts w:cs="Arial"/>
                <w:b/>
                <w:bCs/>
              </w:rPr>
              <w:t xml:space="preserve"> </w:t>
            </w:r>
            <w:r w:rsidRPr="00330CA5">
              <w:rPr>
                <w:rFonts w:cs="Arial"/>
                <w:b/>
                <w:bCs/>
              </w:rPr>
              <w:t>Electors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14:paraId="14082064" w14:textId="77777777" w:rsidR="009F5EE8" w:rsidRPr="00330CA5" w:rsidRDefault="009F5EE8" w:rsidP="009F5EE8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330CA5">
              <w:rPr>
                <w:rFonts w:cs="Arial"/>
                <w:b/>
                <w:bCs/>
              </w:rPr>
              <w:t>Target Electors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14:paraId="16CF6A08" w14:textId="77777777" w:rsidR="009F5EE8" w:rsidRPr="00330CA5" w:rsidRDefault="009F5EE8" w:rsidP="009F5EE8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330CA5">
              <w:rPr>
                <w:rFonts w:cs="Arial"/>
                <w:b/>
                <w:bCs/>
              </w:rPr>
              <w:t>Variation (must be +/-10%)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14:paraId="2E23763F" w14:textId="77777777" w:rsidR="009F5EE8" w:rsidRPr="00330CA5" w:rsidRDefault="009F5EE8" w:rsidP="009F5EE8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330CA5">
              <w:rPr>
                <w:rFonts w:cs="Arial"/>
                <w:b/>
                <w:bCs/>
              </w:rPr>
              <w:t>Variation (number)</w:t>
            </w:r>
          </w:p>
        </w:tc>
      </w:tr>
      <w:tr w:rsidR="009F5EE8" w:rsidRPr="00BD7680" w14:paraId="15962AA9" w14:textId="77777777" w:rsidTr="009F5EE8">
        <w:trPr>
          <w:trHeight w:val="30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6198" w14:textId="77777777" w:rsidR="009F5EE8" w:rsidRPr="00330CA5" w:rsidRDefault="009F5EE8" w:rsidP="00BD7680">
            <w:pPr>
              <w:spacing w:after="0"/>
              <w:rPr>
                <w:rFonts w:cs="Arial"/>
                <w:b/>
                <w:bCs/>
              </w:rPr>
            </w:pPr>
            <w:r w:rsidRPr="00330CA5">
              <w:rPr>
                <w:rFonts w:cs="Arial"/>
                <w:b/>
                <w:bCs/>
              </w:rPr>
              <w:t>North-Eastern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CB06" w14:textId="77777777" w:rsidR="009F5EE8" w:rsidRPr="00330CA5" w:rsidRDefault="009F5EE8" w:rsidP="00BD7680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DE96C" w14:textId="77777777" w:rsidR="009F5EE8" w:rsidRPr="00330CA5" w:rsidRDefault="009F5EE8" w:rsidP="00BD7680">
            <w:pPr>
              <w:spacing w:after="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B664" w14:textId="77777777" w:rsidR="009F5EE8" w:rsidRPr="00330CA5" w:rsidRDefault="009F5EE8" w:rsidP="00BD7680">
            <w:pPr>
              <w:spacing w:after="0"/>
              <w:rPr>
                <w:rFonts w:cs="Aria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F238" w14:textId="77777777" w:rsidR="009F5EE8" w:rsidRPr="00330CA5" w:rsidRDefault="009F5EE8" w:rsidP="00BD7680">
            <w:pPr>
              <w:spacing w:after="0"/>
              <w:rPr>
                <w:rFonts w:cs="Arial"/>
              </w:rPr>
            </w:pPr>
          </w:p>
        </w:tc>
      </w:tr>
      <w:tr w:rsidR="009F5EE8" w:rsidRPr="00BD7680" w14:paraId="412D44B9" w14:textId="77777777" w:rsidTr="009F5EE8">
        <w:trPr>
          <w:trHeight w:val="30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407B" w14:textId="77777777" w:rsidR="009F5EE8" w:rsidRPr="00330CA5" w:rsidRDefault="009F5EE8" w:rsidP="00330CA5">
            <w:pPr>
              <w:spacing w:after="0"/>
              <w:ind w:firstLineChars="100" w:firstLine="240"/>
              <w:rPr>
                <w:rFonts w:cs="Arial"/>
              </w:rPr>
            </w:pPr>
            <w:r w:rsidRPr="00330CA5">
              <w:rPr>
                <w:rFonts w:cs="Arial"/>
              </w:rPr>
              <w:t>Barton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732B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5018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C940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4834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24C6E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103.81%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E9EE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184</w:t>
            </w:r>
          </w:p>
        </w:tc>
      </w:tr>
      <w:tr w:rsidR="009F5EE8" w:rsidRPr="00BD7680" w14:paraId="61FD3CC1" w14:textId="77777777" w:rsidTr="009F5EE8">
        <w:trPr>
          <w:trHeight w:val="30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5164" w14:textId="77777777" w:rsidR="009F5EE8" w:rsidRPr="00330CA5" w:rsidRDefault="009F5EE8" w:rsidP="00330CA5">
            <w:pPr>
              <w:spacing w:after="0"/>
              <w:ind w:firstLineChars="100" w:firstLine="240"/>
              <w:rPr>
                <w:rFonts w:cs="Arial"/>
              </w:rPr>
            </w:pPr>
            <w:r w:rsidRPr="00330CA5">
              <w:rPr>
                <w:rFonts w:cs="Arial"/>
              </w:rPr>
              <w:t>Churchill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172F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14649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4834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208A2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103.23%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E57A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156</w:t>
            </w:r>
          </w:p>
        </w:tc>
      </w:tr>
      <w:tr w:rsidR="009F5EE8" w:rsidRPr="00BD7680" w14:paraId="0A92AEEA" w14:textId="77777777" w:rsidTr="009F5EE8">
        <w:trPr>
          <w:trHeight w:val="30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A43C" w14:textId="77777777" w:rsidR="009F5EE8" w:rsidRPr="00330CA5" w:rsidRDefault="009F5EE8" w:rsidP="00330CA5">
            <w:pPr>
              <w:spacing w:after="0"/>
              <w:ind w:firstLineChars="100" w:firstLine="240"/>
              <w:rPr>
                <w:rFonts w:cs="Arial"/>
              </w:rPr>
            </w:pPr>
            <w:r w:rsidRPr="00330CA5">
              <w:rPr>
                <w:rFonts w:cs="Arial"/>
              </w:rPr>
              <w:t>Headington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6FC1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5230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F26D8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4834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E8EF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108.19%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0911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396</w:t>
            </w:r>
          </w:p>
        </w:tc>
      </w:tr>
      <w:tr w:rsidR="009F5EE8" w:rsidRPr="00BD7680" w14:paraId="4E33FAA0" w14:textId="77777777" w:rsidTr="009F5EE8">
        <w:trPr>
          <w:trHeight w:val="30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0367" w14:textId="77777777" w:rsidR="009F5EE8" w:rsidRPr="00330CA5" w:rsidRDefault="009F5EE8" w:rsidP="00330CA5">
            <w:pPr>
              <w:spacing w:after="0"/>
              <w:ind w:firstLineChars="100" w:firstLine="240"/>
              <w:rPr>
                <w:rFonts w:cs="Arial"/>
              </w:rPr>
            </w:pPr>
            <w:r w:rsidRPr="00330CA5">
              <w:rPr>
                <w:rFonts w:cs="Arial"/>
              </w:rPr>
              <w:t>Marston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4953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C4826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4834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CEEB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97.81%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6E389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-106</w:t>
            </w:r>
          </w:p>
        </w:tc>
      </w:tr>
      <w:tr w:rsidR="009F5EE8" w:rsidRPr="00BD7680" w14:paraId="2BD5C14B" w14:textId="77777777" w:rsidTr="009F5EE8">
        <w:trPr>
          <w:trHeight w:val="30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AFA1" w14:textId="77777777" w:rsidR="009F5EE8" w:rsidRPr="00330CA5" w:rsidRDefault="009F5EE8" w:rsidP="00330CA5">
            <w:pPr>
              <w:spacing w:after="0"/>
              <w:ind w:firstLineChars="100" w:firstLine="240"/>
              <w:rPr>
                <w:rFonts w:cs="Arial"/>
              </w:rPr>
            </w:pPr>
            <w:r w:rsidRPr="00330CA5">
              <w:rPr>
                <w:rFonts w:cs="Arial"/>
              </w:rPr>
              <w:t>Quarry and Risinghurst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95B8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5255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DB96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4834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0B4F4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108.71%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B59B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421</w:t>
            </w:r>
          </w:p>
        </w:tc>
      </w:tr>
      <w:tr w:rsidR="009F5EE8" w:rsidRPr="00BD7680" w14:paraId="650762E6" w14:textId="77777777" w:rsidTr="009F5EE8">
        <w:trPr>
          <w:trHeight w:val="30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26C0" w14:textId="203EF8E1" w:rsidR="009F5EE8" w:rsidRPr="00330CA5" w:rsidRDefault="009F5EE8" w:rsidP="00330CA5">
            <w:pPr>
              <w:spacing w:after="0"/>
              <w:ind w:firstLineChars="100" w:firstLine="240"/>
              <w:rPr>
                <w:rFonts w:cs="Arial"/>
              </w:rPr>
            </w:pPr>
            <w:r w:rsidRPr="00330CA5">
              <w:rPr>
                <w:rFonts w:cs="Arial"/>
              </w:rPr>
              <w:t xml:space="preserve">Headington Hill and </w:t>
            </w:r>
            <w:r>
              <w:rPr>
                <w:rFonts w:cs="Arial"/>
              </w:rPr>
              <w:t xml:space="preserve"> </w:t>
            </w:r>
            <w:r w:rsidRPr="00330CA5">
              <w:rPr>
                <w:rFonts w:cs="Arial"/>
              </w:rPr>
              <w:t>Northway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58AF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ABF0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4834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EEFB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96.11%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6D006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-188</w:t>
            </w:r>
          </w:p>
        </w:tc>
      </w:tr>
      <w:tr w:rsidR="009F5EE8" w:rsidRPr="00BD7680" w14:paraId="181F6DA1" w14:textId="77777777" w:rsidTr="009F5EE8">
        <w:trPr>
          <w:trHeight w:val="30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06AB1097" w14:textId="77777777" w:rsidR="009F5EE8" w:rsidRDefault="009F5EE8" w:rsidP="009F5EE8">
            <w:pPr>
              <w:spacing w:after="0"/>
              <w:jc w:val="center"/>
              <w:rPr>
                <w:rFonts w:cs="Arial"/>
                <w:b/>
                <w:bCs/>
              </w:rPr>
            </w:pPr>
          </w:p>
          <w:p w14:paraId="31FB0993" w14:textId="6BA82F91" w:rsidR="009F5EE8" w:rsidRDefault="009F5EE8" w:rsidP="009F5EE8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330CA5">
              <w:rPr>
                <w:rFonts w:cs="Arial"/>
                <w:b/>
                <w:bCs/>
              </w:rPr>
              <w:t>Area/Ward</w:t>
            </w:r>
          </w:p>
          <w:p w14:paraId="4DB21545" w14:textId="789B776F" w:rsidR="009F5EE8" w:rsidRPr="00330CA5" w:rsidRDefault="009F5EE8" w:rsidP="009F5EE8">
            <w:pPr>
              <w:spacing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6C085E13" w14:textId="77777777" w:rsidR="009F5EE8" w:rsidRPr="00330CA5" w:rsidRDefault="009F5EE8" w:rsidP="009F5EE8">
            <w:pPr>
              <w:spacing w:after="0"/>
              <w:jc w:val="center"/>
              <w:rPr>
                <w:rFonts w:cs="Arial"/>
              </w:rPr>
            </w:pPr>
            <w:r w:rsidRPr="00330CA5">
              <w:rPr>
                <w:rFonts w:cs="Arial"/>
                <w:b/>
                <w:bCs/>
              </w:rPr>
              <w:t>Sum of Jul</w:t>
            </w:r>
            <w:r>
              <w:rPr>
                <w:rFonts w:cs="Arial"/>
                <w:b/>
                <w:bCs/>
              </w:rPr>
              <w:t xml:space="preserve">y </w:t>
            </w:r>
            <w:r w:rsidRPr="00330CA5">
              <w:rPr>
                <w:rFonts w:cs="Arial"/>
                <w:b/>
                <w:bCs/>
              </w:rPr>
              <w:t>17</w:t>
            </w:r>
            <w:r>
              <w:rPr>
                <w:rFonts w:cs="Arial"/>
                <w:b/>
                <w:bCs/>
              </w:rPr>
              <w:t xml:space="preserve"> </w:t>
            </w:r>
            <w:r w:rsidRPr="00330CA5">
              <w:rPr>
                <w:rFonts w:cs="Arial"/>
                <w:b/>
                <w:bCs/>
              </w:rPr>
              <w:t>Electors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796A6AEE" w14:textId="603833EC" w:rsidR="009F5EE8" w:rsidRPr="00330CA5" w:rsidRDefault="009F5EE8" w:rsidP="009F5EE8">
            <w:pPr>
              <w:spacing w:after="0"/>
              <w:jc w:val="center"/>
              <w:rPr>
                <w:rFonts w:cs="Arial"/>
              </w:rPr>
            </w:pPr>
            <w:r w:rsidRPr="00330CA5">
              <w:rPr>
                <w:rFonts w:cs="Arial"/>
                <w:b/>
                <w:bCs/>
              </w:rPr>
              <w:t>Target Electors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02952639" w14:textId="69BF57EA" w:rsidR="009F5EE8" w:rsidRPr="00330CA5" w:rsidRDefault="009F5EE8" w:rsidP="009F5EE8">
            <w:pPr>
              <w:spacing w:after="0"/>
              <w:jc w:val="center"/>
              <w:rPr>
                <w:rFonts w:cs="Arial"/>
              </w:rPr>
            </w:pPr>
            <w:r w:rsidRPr="00330CA5">
              <w:rPr>
                <w:rFonts w:cs="Arial"/>
                <w:b/>
                <w:bCs/>
              </w:rPr>
              <w:t>Variation (must be +/-10%)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2EE812A1" w14:textId="736F5CEA" w:rsidR="009F5EE8" w:rsidRPr="00330CA5" w:rsidRDefault="009F5EE8" w:rsidP="009F5EE8">
            <w:pPr>
              <w:spacing w:after="0"/>
              <w:jc w:val="center"/>
              <w:rPr>
                <w:rFonts w:cs="Arial"/>
              </w:rPr>
            </w:pPr>
            <w:r w:rsidRPr="00330CA5">
              <w:rPr>
                <w:rFonts w:cs="Arial"/>
                <w:b/>
                <w:bCs/>
              </w:rPr>
              <w:t>Variation (number)</w:t>
            </w:r>
          </w:p>
        </w:tc>
      </w:tr>
      <w:tr w:rsidR="009F5EE8" w:rsidRPr="00BD7680" w14:paraId="066FEB55" w14:textId="77777777" w:rsidTr="009F5EE8">
        <w:trPr>
          <w:trHeight w:val="30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00E5" w14:textId="77777777" w:rsidR="009F5EE8" w:rsidRPr="00330CA5" w:rsidRDefault="009F5EE8" w:rsidP="00BD7680">
            <w:pPr>
              <w:spacing w:after="0"/>
              <w:rPr>
                <w:rFonts w:cs="Arial"/>
                <w:b/>
                <w:bCs/>
              </w:rPr>
            </w:pPr>
            <w:r w:rsidRPr="00330CA5">
              <w:rPr>
                <w:rFonts w:cs="Arial"/>
                <w:b/>
                <w:bCs/>
              </w:rPr>
              <w:t>South-Eastern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4E3F" w14:textId="77777777" w:rsidR="009F5EE8" w:rsidRPr="00330CA5" w:rsidRDefault="009F5EE8" w:rsidP="00BD7680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A6C5" w14:textId="77777777" w:rsidR="009F5EE8" w:rsidRPr="00330CA5" w:rsidRDefault="009F5EE8" w:rsidP="00BD7680">
            <w:pPr>
              <w:spacing w:after="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9222" w14:textId="77777777" w:rsidR="009F5EE8" w:rsidRPr="00330CA5" w:rsidRDefault="009F5EE8" w:rsidP="00BD7680">
            <w:pPr>
              <w:spacing w:after="0"/>
              <w:rPr>
                <w:rFonts w:cs="Aria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6EF87" w14:textId="77777777" w:rsidR="009F5EE8" w:rsidRPr="00330CA5" w:rsidRDefault="009F5EE8" w:rsidP="00BD7680">
            <w:pPr>
              <w:spacing w:after="0"/>
              <w:rPr>
                <w:rFonts w:cs="Arial"/>
              </w:rPr>
            </w:pPr>
          </w:p>
        </w:tc>
      </w:tr>
      <w:tr w:rsidR="009F5EE8" w:rsidRPr="00BD7680" w14:paraId="097E036A" w14:textId="77777777" w:rsidTr="009F5EE8">
        <w:trPr>
          <w:trHeight w:val="30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D4D4" w14:textId="77777777" w:rsidR="009F5EE8" w:rsidRPr="00330CA5" w:rsidRDefault="009F5EE8" w:rsidP="00330CA5">
            <w:pPr>
              <w:spacing w:after="0"/>
              <w:ind w:firstLineChars="100" w:firstLine="240"/>
              <w:rPr>
                <w:rFonts w:cs="Arial"/>
              </w:rPr>
            </w:pPr>
            <w:r w:rsidRPr="00330CA5">
              <w:rPr>
                <w:rFonts w:cs="Arial"/>
              </w:rPr>
              <w:t>St Clement's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7E4A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3F2E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4834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B9EEE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95.95%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CD46B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-196</w:t>
            </w:r>
          </w:p>
        </w:tc>
      </w:tr>
      <w:tr w:rsidR="009F5EE8" w:rsidRPr="00BD7680" w14:paraId="5850D184" w14:textId="77777777" w:rsidTr="009F5EE8">
        <w:trPr>
          <w:trHeight w:val="30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9FB9" w14:textId="77777777" w:rsidR="009F5EE8" w:rsidRPr="00330CA5" w:rsidRDefault="009F5EE8" w:rsidP="00330CA5">
            <w:pPr>
              <w:spacing w:after="0"/>
              <w:ind w:firstLineChars="100" w:firstLine="240"/>
              <w:rPr>
                <w:rFonts w:cs="Arial"/>
              </w:rPr>
            </w:pPr>
            <w:proofErr w:type="spellStart"/>
            <w:r w:rsidRPr="00330CA5">
              <w:rPr>
                <w:rFonts w:cs="Arial"/>
              </w:rPr>
              <w:t>Bartlemas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481B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08A2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4834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041E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105.50%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9E7DD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266</w:t>
            </w:r>
          </w:p>
        </w:tc>
      </w:tr>
      <w:tr w:rsidR="009F5EE8" w:rsidRPr="00BD7680" w14:paraId="5745F21A" w14:textId="77777777" w:rsidTr="009F5EE8">
        <w:trPr>
          <w:trHeight w:val="30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92B1" w14:textId="77777777" w:rsidR="009F5EE8" w:rsidRPr="00330CA5" w:rsidRDefault="009F5EE8" w:rsidP="00330CA5">
            <w:pPr>
              <w:spacing w:after="0"/>
              <w:ind w:firstLineChars="100" w:firstLine="240"/>
              <w:rPr>
                <w:rFonts w:cs="Arial"/>
              </w:rPr>
            </w:pPr>
            <w:proofErr w:type="spellStart"/>
            <w:r w:rsidRPr="00330CA5">
              <w:rPr>
                <w:rFonts w:cs="Arial"/>
              </w:rPr>
              <w:t>Donnington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4CB1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E81C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4834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4E9F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93.88%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D214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-296</w:t>
            </w:r>
          </w:p>
        </w:tc>
      </w:tr>
      <w:tr w:rsidR="009F5EE8" w:rsidRPr="00BD7680" w14:paraId="45FA9FFC" w14:textId="77777777" w:rsidTr="009F5EE8">
        <w:trPr>
          <w:trHeight w:val="30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A910" w14:textId="77777777" w:rsidR="009F5EE8" w:rsidRPr="00330CA5" w:rsidRDefault="009F5EE8" w:rsidP="00330CA5">
            <w:pPr>
              <w:spacing w:after="0"/>
              <w:ind w:firstLineChars="100" w:firstLine="240"/>
              <w:rPr>
                <w:rFonts w:cs="Arial"/>
              </w:rPr>
            </w:pPr>
            <w:r w:rsidRPr="00330CA5">
              <w:rPr>
                <w:rFonts w:cs="Arial"/>
              </w:rPr>
              <w:t>Rose Hill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8795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4879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0A16B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4834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D5C30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100.93%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80DF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45</w:t>
            </w:r>
          </w:p>
        </w:tc>
      </w:tr>
      <w:tr w:rsidR="009F5EE8" w:rsidRPr="00BD7680" w14:paraId="5BD37128" w14:textId="77777777" w:rsidTr="009F5EE8">
        <w:trPr>
          <w:trHeight w:val="30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707F" w14:textId="77777777" w:rsidR="009F5EE8" w:rsidRPr="00330CA5" w:rsidRDefault="009F5EE8" w:rsidP="00330CA5">
            <w:pPr>
              <w:spacing w:after="0"/>
              <w:ind w:firstLineChars="100" w:firstLine="240"/>
              <w:rPr>
                <w:rFonts w:cs="Arial"/>
              </w:rPr>
            </w:pPr>
            <w:r w:rsidRPr="00330CA5">
              <w:rPr>
                <w:rFonts w:cs="Arial"/>
              </w:rPr>
              <w:t>Cowley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9A38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5074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3C23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4834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3DBC9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104.96%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9C64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240</w:t>
            </w:r>
          </w:p>
        </w:tc>
      </w:tr>
      <w:tr w:rsidR="009F5EE8" w:rsidRPr="00BD7680" w14:paraId="110ECA64" w14:textId="77777777" w:rsidTr="009F5EE8">
        <w:trPr>
          <w:trHeight w:val="30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FAA6" w14:textId="77777777" w:rsidR="009F5EE8" w:rsidRPr="00330CA5" w:rsidRDefault="009F5EE8" w:rsidP="00330CA5">
            <w:pPr>
              <w:spacing w:after="0"/>
              <w:ind w:firstLineChars="100" w:firstLine="240"/>
              <w:rPr>
                <w:rFonts w:cs="Arial"/>
              </w:rPr>
            </w:pPr>
            <w:r w:rsidRPr="00330CA5">
              <w:rPr>
                <w:rFonts w:cs="Arial"/>
              </w:rPr>
              <w:t>Littlemore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9A75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E80B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4834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FB70D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102.75%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4B62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133</w:t>
            </w:r>
          </w:p>
        </w:tc>
      </w:tr>
      <w:tr w:rsidR="009F5EE8" w:rsidRPr="00BD7680" w14:paraId="47B9E50B" w14:textId="77777777" w:rsidTr="009F5EE8">
        <w:trPr>
          <w:trHeight w:val="30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255B" w14:textId="77777777" w:rsidR="009F5EE8" w:rsidRPr="00330CA5" w:rsidRDefault="009F5EE8" w:rsidP="00330CA5">
            <w:pPr>
              <w:spacing w:after="0"/>
              <w:ind w:firstLineChars="100" w:firstLine="240"/>
              <w:rPr>
                <w:rFonts w:cs="Arial"/>
              </w:rPr>
            </w:pPr>
            <w:r w:rsidRPr="00330CA5">
              <w:rPr>
                <w:rFonts w:cs="Arial"/>
              </w:rPr>
              <w:t>Northfield Brook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1BC2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296B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4834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5B714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97.83%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D3F81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-105</w:t>
            </w:r>
          </w:p>
        </w:tc>
      </w:tr>
      <w:tr w:rsidR="009F5EE8" w:rsidRPr="00BD7680" w14:paraId="037200E6" w14:textId="77777777" w:rsidTr="009F5EE8">
        <w:trPr>
          <w:trHeight w:val="30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C524" w14:textId="77777777" w:rsidR="009F5EE8" w:rsidRPr="00330CA5" w:rsidRDefault="009F5EE8" w:rsidP="00330CA5">
            <w:pPr>
              <w:spacing w:after="0"/>
              <w:ind w:firstLineChars="100" w:firstLine="240"/>
              <w:rPr>
                <w:rFonts w:cs="Arial"/>
              </w:rPr>
            </w:pPr>
            <w:r w:rsidRPr="00330CA5">
              <w:rPr>
                <w:rFonts w:cs="Arial"/>
              </w:rPr>
              <w:t>Blackbird Leys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D05F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C6BC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4834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C47C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94.17%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86A3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-282</w:t>
            </w:r>
          </w:p>
        </w:tc>
      </w:tr>
      <w:tr w:rsidR="009F5EE8" w:rsidRPr="00BD7680" w14:paraId="60AA138F" w14:textId="77777777" w:rsidTr="009F5EE8">
        <w:trPr>
          <w:trHeight w:val="30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1766" w14:textId="77777777" w:rsidR="009F5EE8" w:rsidRPr="00330CA5" w:rsidRDefault="009F5EE8" w:rsidP="00330CA5">
            <w:pPr>
              <w:spacing w:after="0"/>
              <w:ind w:firstLineChars="100" w:firstLine="240"/>
              <w:rPr>
                <w:rFonts w:cs="Arial"/>
              </w:rPr>
            </w:pPr>
            <w:r w:rsidRPr="00330CA5">
              <w:rPr>
                <w:rFonts w:cs="Arial"/>
              </w:rPr>
              <w:t>Temple Cowley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8576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4579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3DA1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4834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3D8E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94.72%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31EC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-255</w:t>
            </w:r>
          </w:p>
        </w:tc>
      </w:tr>
      <w:tr w:rsidR="009F5EE8" w:rsidRPr="00BD7680" w14:paraId="3EABDA74" w14:textId="77777777" w:rsidTr="009F5EE8">
        <w:trPr>
          <w:trHeight w:val="30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3335" w14:textId="77777777" w:rsidR="009F5EE8" w:rsidRPr="00330CA5" w:rsidRDefault="009F5EE8" w:rsidP="00330CA5">
            <w:pPr>
              <w:spacing w:after="0"/>
              <w:ind w:firstLineChars="100" w:firstLine="240"/>
              <w:rPr>
                <w:rFonts w:cs="Arial"/>
              </w:rPr>
            </w:pPr>
            <w:r w:rsidRPr="00330CA5">
              <w:rPr>
                <w:rFonts w:cs="Arial"/>
              </w:rPr>
              <w:t>Lye Valley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656D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4718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5161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4834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D446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97.60%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659B1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-116</w:t>
            </w:r>
          </w:p>
        </w:tc>
      </w:tr>
      <w:tr w:rsidR="009F5EE8" w:rsidRPr="00BD7680" w14:paraId="507F4938" w14:textId="77777777" w:rsidTr="009F5EE8">
        <w:trPr>
          <w:trHeight w:val="30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776B" w14:textId="77777777" w:rsidR="009F5EE8" w:rsidRPr="00330CA5" w:rsidRDefault="009F5EE8" w:rsidP="00BD7680">
            <w:pPr>
              <w:spacing w:after="0"/>
              <w:rPr>
                <w:rFonts w:cs="Arial"/>
                <w:b/>
                <w:bCs/>
              </w:rPr>
            </w:pPr>
            <w:r w:rsidRPr="00330CA5">
              <w:rPr>
                <w:rFonts w:cs="Arial"/>
                <w:b/>
                <w:bCs/>
              </w:rPr>
              <w:t>Western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3790" w14:textId="77777777" w:rsidR="009F5EE8" w:rsidRPr="00330CA5" w:rsidRDefault="009F5EE8" w:rsidP="00BD7680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3F30D" w14:textId="77777777" w:rsidR="009F5EE8" w:rsidRPr="00330CA5" w:rsidRDefault="009F5EE8" w:rsidP="00BD7680">
            <w:pPr>
              <w:spacing w:after="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0161D" w14:textId="77777777" w:rsidR="009F5EE8" w:rsidRPr="00330CA5" w:rsidRDefault="009F5EE8" w:rsidP="00BD7680">
            <w:pPr>
              <w:spacing w:after="0"/>
              <w:rPr>
                <w:rFonts w:cs="Aria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0896" w14:textId="77777777" w:rsidR="009F5EE8" w:rsidRPr="00330CA5" w:rsidRDefault="009F5EE8" w:rsidP="00BD7680">
            <w:pPr>
              <w:spacing w:after="0"/>
              <w:rPr>
                <w:rFonts w:cs="Arial"/>
              </w:rPr>
            </w:pPr>
          </w:p>
        </w:tc>
      </w:tr>
      <w:tr w:rsidR="009F5EE8" w:rsidRPr="00BD7680" w14:paraId="6E068A26" w14:textId="77777777" w:rsidTr="009F5EE8">
        <w:trPr>
          <w:trHeight w:val="30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C44F" w14:textId="77777777" w:rsidR="009F5EE8" w:rsidRPr="00330CA5" w:rsidRDefault="009F5EE8" w:rsidP="00330CA5">
            <w:pPr>
              <w:spacing w:after="0"/>
              <w:ind w:firstLineChars="100" w:firstLine="240"/>
              <w:rPr>
                <w:rFonts w:cs="Arial"/>
              </w:rPr>
            </w:pPr>
            <w:proofErr w:type="spellStart"/>
            <w:r w:rsidRPr="00330CA5">
              <w:rPr>
                <w:rFonts w:cs="Arial"/>
              </w:rPr>
              <w:t>Wolvercote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D1CF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4762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7690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4834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02F9B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98.51%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171D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-72</w:t>
            </w:r>
          </w:p>
        </w:tc>
      </w:tr>
      <w:tr w:rsidR="009F5EE8" w:rsidRPr="00BD7680" w14:paraId="22DE9D7F" w14:textId="77777777" w:rsidTr="009F5EE8">
        <w:trPr>
          <w:trHeight w:val="30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D31D" w14:textId="77777777" w:rsidR="009F5EE8" w:rsidRPr="00330CA5" w:rsidRDefault="009F5EE8" w:rsidP="00330CA5">
            <w:pPr>
              <w:spacing w:after="0"/>
              <w:ind w:firstLineChars="100" w:firstLine="240"/>
              <w:rPr>
                <w:rFonts w:cs="Arial"/>
              </w:rPr>
            </w:pPr>
            <w:r w:rsidRPr="00330CA5">
              <w:rPr>
                <w:rFonts w:cs="Arial"/>
              </w:rPr>
              <w:t>Cutteslowe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A406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19719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4834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E6A1B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102.34%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675A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113</w:t>
            </w:r>
          </w:p>
        </w:tc>
      </w:tr>
      <w:tr w:rsidR="009F5EE8" w:rsidRPr="00BD7680" w14:paraId="20FB6CA2" w14:textId="77777777" w:rsidTr="009F5EE8">
        <w:trPr>
          <w:trHeight w:val="30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D4A5" w14:textId="77777777" w:rsidR="009F5EE8" w:rsidRPr="00330CA5" w:rsidRDefault="009F5EE8" w:rsidP="00330CA5">
            <w:pPr>
              <w:spacing w:after="0"/>
              <w:ind w:firstLineChars="100" w:firstLine="240"/>
              <w:rPr>
                <w:rFonts w:cs="Arial"/>
              </w:rPr>
            </w:pPr>
            <w:r w:rsidRPr="00330CA5">
              <w:rPr>
                <w:rFonts w:cs="Arial"/>
              </w:rPr>
              <w:t>Summertown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B109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4925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9C610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4834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06D8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101.88%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3456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91</w:t>
            </w:r>
          </w:p>
        </w:tc>
      </w:tr>
      <w:tr w:rsidR="009F5EE8" w:rsidRPr="00BD7680" w14:paraId="5DED08F4" w14:textId="77777777" w:rsidTr="009F5EE8">
        <w:trPr>
          <w:trHeight w:val="30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4ED4" w14:textId="77777777" w:rsidR="009F5EE8" w:rsidRPr="00330CA5" w:rsidRDefault="009F5EE8" w:rsidP="00330CA5">
            <w:pPr>
              <w:spacing w:after="0"/>
              <w:ind w:firstLineChars="100" w:firstLine="240"/>
              <w:rPr>
                <w:rFonts w:cs="Arial"/>
              </w:rPr>
            </w:pPr>
            <w:r w:rsidRPr="00330CA5">
              <w:rPr>
                <w:rFonts w:cs="Arial"/>
              </w:rPr>
              <w:t>Walton Manor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FBE7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55D8B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4834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8EF1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95.59%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672D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-213</w:t>
            </w:r>
          </w:p>
        </w:tc>
      </w:tr>
      <w:tr w:rsidR="009F5EE8" w:rsidRPr="00BD7680" w14:paraId="0E14436D" w14:textId="77777777" w:rsidTr="009F5EE8">
        <w:trPr>
          <w:trHeight w:val="30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7026" w14:textId="77777777" w:rsidR="009F5EE8" w:rsidRPr="00330CA5" w:rsidRDefault="009F5EE8" w:rsidP="00330CA5">
            <w:pPr>
              <w:spacing w:after="0"/>
              <w:ind w:firstLineChars="100" w:firstLine="240"/>
              <w:rPr>
                <w:rFonts w:cs="Arial"/>
              </w:rPr>
            </w:pPr>
            <w:r w:rsidRPr="00330CA5">
              <w:rPr>
                <w:rFonts w:cs="Arial"/>
              </w:rPr>
              <w:t>Jericho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5725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5062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004D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4834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1483E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104.72%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23D3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228</w:t>
            </w:r>
          </w:p>
        </w:tc>
      </w:tr>
      <w:tr w:rsidR="009F5EE8" w:rsidRPr="00BD7680" w14:paraId="36F079EC" w14:textId="77777777" w:rsidTr="009F5EE8">
        <w:trPr>
          <w:trHeight w:val="30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6F82" w14:textId="77777777" w:rsidR="009F5EE8" w:rsidRPr="00330CA5" w:rsidRDefault="009F5EE8" w:rsidP="00330CA5">
            <w:pPr>
              <w:spacing w:after="0"/>
              <w:ind w:firstLineChars="100" w:firstLine="240"/>
              <w:rPr>
                <w:rFonts w:cs="Arial"/>
              </w:rPr>
            </w:pPr>
            <w:r w:rsidRPr="00330CA5">
              <w:rPr>
                <w:rFonts w:cs="Arial"/>
              </w:rPr>
              <w:t>Osney and St Thomas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AFEF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5078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67DBE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4834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2B139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105.05%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5B153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244</w:t>
            </w:r>
          </w:p>
        </w:tc>
      </w:tr>
      <w:tr w:rsidR="009F5EE8" w:rsidRPr="00BD7680" w14:paraId="0382DC15" w14:textId="77777777" w:rsidTr="009F5EE8">
        <w:trPr>
          <w:trHeight w:val="30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1220" w14:textId="77777777" w:rsidR="009F5EE8" w:rsidRPr="00330CA5" w:rsidRDefault="009F5EE8" w:rsidP="00330CA5">
            <w:pPr>
              <w:spacing w:after="0"/>
              <w:ind w:firstLineChars="100" w:firstLine="240"/>
              <w:rPr>
                <w:rFonts w:cs="Arial"/>
              </w:rPr>
            </w:pPr>
            <w:proofErr w:type="spellStart"/>
            <w:r w:rsidRPr="00330CA5">
              <w:rPr>
                <w:rFonts w:cs="Arial"/>
              </w:rPr>
              <w:t>Holywell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22BB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5AE4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4834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0DE74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94.04%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2EB1F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-288</w:t>
            </w:r>
          </w:p>
        </w:tc>
      </w:tr>
      <w:tr w:rsidR="009F5EE8" w:rsidRPr="00BD7680" w14:paraId="528F2E9D" w14:textId="77777777" w:rsidTr="009F5EE8">
        <w:trPr>
          <w:trHeight w:val="30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C09C" w14:textId="77777777" w:rsidR="009F5EE8" w:rsidRPr="00330CA5" w:rsidRDefault="009F5EE8" w:rsidP="00330CA5">
            <w:pPr>
              <w:spacing w:after="0"/>
              <w:ind w:firstLineChars="100" w:firstLine="240"/>
              <w:rPr>
                <w:rFonts w:cs="Arial"/>
              </w:rPr>
            </w:pPr>
            <w:proofErr w:type="spellStart"/>
            <w:r w:rsidRPr="00330CA5">
              <w:rPr>
                <w:rFonts w:cs="Arial"/>
              </w:rPr>
              <w:t>Hinksey</w:t>
            </w:r>
            <w:proofErr w:type="spellEnd"/>
            <w:r w:rsidRPr="00330CA5">
              <w:rPr>
                <w:rFonts w:cs="Arial"/>
              </w:rPr>
              <w:t xml:space="preserve"> Park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F63D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60F6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4834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19C9A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91.87%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1949C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-393</w:t>
            </w:r>
          </w:p>
        </w:tc>
      </w:tr>
      <w:tr w:rsidR="009F5EE8" w:rsidRPr="00BD7680" w14:paraId="6D3EBCC2" w14:textId="77777777" w:rsidTr="009F5EE8">
        <w:trPr>
          <w:trHeight w:val="315"/>
          <w:jc w:val="center"/>
        </w:trPr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98E52AD" w14:textId="77777777" w:rsidR="009F5EE8" w:rsidRPr="00330CA5" w:rsidRDefault="009F5EE8" w:rsidP="00BD7680">
            <w:pPr>
              <w:spacing w:after="0"/>
              <w:rPr>
                <w:rFonts w:cs="Arial"/>
                <w:b/>
                <w:bCs/>
              </w:rPr>
            </w:pPr>
            <w:r w:rsidRPr="00330CA5">
              <w:rPr>
                <w:rFonts w:cs="Arial"/>
                <w:b/>
                <w:bCs/>
              </w:rPr>
              <w:t>Grand Total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406987B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  <w:b/>
                <w:bCs/>
              </w:rPr>
            </w:pPr>
            <w:r w:rsidRPr="00330CA5">
              <w:rPr>
                <w:rFonts w:cs="Arial"/>
                <w:b/>
                <w:bCs/>
              </w:rPr>
              <w:t>116023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7B91BB1" w14:textId="77777777" w:rsidR="009F5EE8" w:rsidRPr="00330CA5" w:rsidRDefault="009F5EE8" w:rsidP="00BD7680">
            <w:pPr>
              <w:spacing w:after="0"/>
              <w:jc w:val="right"/>
              <w:rPr>
                <w:rFonts w:cs="Arial"/>
              </w:rPr>
            </w:pPr>
            <w:r w:rsidRPr="00330CA5">
              <w:rPr>
                <w:rFonts w:cs="Arial"/>
              </w:rPr>
              <w:t>116016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2421" w14:textId="6BC3FDF9" w:rsidR="009F5EE8" w:rsidRPr="00330CA5" w:rsidRDefault="009F5EE8" w:rsidP="00BD7680">
            <w:pPr>
              <w:spacing w:after="0"/>
              <w:rPr>
                <w:rFonts w:cs="Arial"/>
              </w:rPr>
            </w:pPr>
          </w:p>
        </w:tc>
      </w:tr>
    </w:tbl>
    <w:p w14:paraId="4286E457" w14:textId="77777777" w:rsidR="00BD7680" w:rsidRPr="001356F1" w:rsidRDefault="00BD7680" w:rsidP="00BD7680">
      <w:pPr>
        <w:pStyle w:val="bParagraphtext"/>
        <w:numPr>
          <w:ilvl w:val="0"/>
          <w:numId w:val="0"/>
        </w:numPr>
        <w:ind w:left="426"/>
        <w:rPr>
          <w:rStyle w:val="ListParagraphChar"/>
        </w:rPr>
      </w:pPr>
    </w:p>
    <w:p w14:paraId="55EE1034" w14:textId="7D71EE1B" w:rsidR="00E87F7A" w:rsidRDefault="00BD7680" w:rsidP="005570B5">
      <w:pPr>
        <w:pStyle w:val="bParagraphtext"/>
      </w:pPr>
      <w:r>
        <w:t xml:space="preserve">A textual description of the </w:t>
      </w:r>
      <w:r w:rsidR="00216CA1">
        <w:t>scheme is described in Appendix 1. An A0 map will be displayed at the Board meeting. An A4 indicative version is attached at Appendix 2.</w:t>
      </w:r>
    </w:p>
    <w:p w14:paraId="32B97F21" w14:textId="77777777" w:rsidR="000A1456" w:rsidRDefault="000A1456" w:rsidP="000A1456">
      <w:pPr>
        <w:pStyle w:val="bParagraphtext"/>
        <w:numPr>
          <w:ilvl w:val="0"/>
          <w:numId w:val="0"/>
        </w:numPr>
        <w:ind w:left="360" w:hanging="360"/>
      </w:pPr>
    </w:p>
    <w:p w14:paraId="114EE983" w14:textId="77777777" w:rsidR="000A1456" w:rsidRPr="001356F1" w:rsidRDefault="000A1456" w:rsidP="000A1456">
      <w:pPr>
        <w:pStyle w:val="bParagraphtext"/>
        <w:numPr>
          <w:ilvl w:val="0"/>
          <w:numId w:val="0"/>
        </w:numPr>
        <w:ind w:left="360" w:hanging="360"/>
      </w:pPr>
      <w:bookmarkStart w:id="0" w:name="_GoBack"/>
      <w:bookmarkEnd w:id="0"/>
    </w:p>
    <w:p w14:paraId="2BA3FCA4" w14:textId="77777777" w:rsidR="0040736F" w:rsidRPr="001356F1" w:rsidRDefault="002329CF" w:rsidP="004A6D2F">
      <w:pPr>
        <w:pStyle w:val="Heading1"/>
      </w:pPr>
      <w:r w:rsidRPr="001356F1">
        <w:lastRenderedPageBreak/>
        <w:t>Financial implications</w:t>
      </w:r>
    </w:p>
    <w:p w14:paraId="4D1FF393" w14:textId="77777777" w:rsidR="00E87F7A" w:rsidRDefault="00487872" w:rsidP="005570B5">
      <w:pPr>
        <w:pStyle w:val="ListParagraph"/>
      </w:pPr>
      <w:r>
        <w:t>There are no financial implications.</w:t>
      </w:r>
    </w:p>
    <w:p w14:paraId="47491701" w14:textId="77777777" w:rsidR="000A1456" w:rsidRPr="001356F1" w:rsidRDefault="000A1456" w:rsidP="000A1456"/>
    <w:p w14:paraId="5DD019A1" w14:textId="77777777" w:rsidR="0040736F" w:rsidRPr="001356F1" w:rsidRDefault="00DA614B" w:rsidP="004A6D2F">
      <w:pPr>
        <w:pStyle w:val="Heading1"/>
      </w:pPr>
      <w:r w:rsidRPr="001356F1">
        <w:t>Legal issues</w:t>
      </w:r>
    </w:p>
    <w:p w14:paraId="13741D6B" w14:textId="113549EA" w:rsidR="00E87F7A" w:rsidRDefault="00487872" w:rsidP="005570B5">
      <w:pPr>
        <w:pStyle w:val="ListParagraph"/>
      </w:pPr>
      <w:r>
        <w:t>There are no legal implications.</w:t>
      </w:r>
      <w:r w:rsidR="00B75541">
        <w:t xml:space="preserve"> </w:t>
      </w:r>
    </w:p>
    <w:p w14:paraId="2FE7BD44" w14:textId="6854A395" w:rsidR="009B75AA" w:rsidRPr="009B75AA" w:rsidRDefault="00583C42" w:rsidP="009B75AA">
      <w:pPr>
        <w:pStyle w:val="Heading1"/>
      </w:pPr>
      <w:r w:rsidRPr="001356F1">
        <w:t>Level of risk</w:t>
      </w:r>
    </w:p>
    <w:p w14:paraId="287DE47D" w14:textId="54A0B5D8" w:rsidR="002329CF" w:rsidRPr="001356F1" w:rsidRDefault="00583C42" w:rsidP="007C5E03">
      <w:pPr>
        <w:pStyle w:val="ListParagraph"/>
        <w:numPr>
          <w:ilvl w:val="0"/>
          <w:numId w:val="0"/>
        </w:numPr>
        <w:ind w:left="426"/>
      </w:pPr>
      <w:r>
        <w:t xml:space="preserve">A </w:t>
      </w:r>
      <w:r w:rsidRPr="001356F1">
        <w:t>completed Risk Register</w:t>
      </w:r>
      <w:r>
        <w:t xml:space="preserve"> is attached at A</w:t>
      </w:r>
      <w:r w:rsidRPr="001356F1">
        <w:t>ppendix</w:t>
      </w:r>
      <w:r>
        <w:t xml:space="preserve"> </w:t>
      </w:r>
      <w:r w:rsidR="00C2441C">
        <w:t>3.</w:t>
      </w: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14:paraId="47E9DA12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0B358D8" w14:textId="77777777"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640A3E" w14:textId="77777777" w:rsidR="00E87F7A" w:rsidRPr="001356F1" w:rsidRDefault="001B0EDD" w:rsidP="00A46E98">
            <w:r>
              <w:t>Martin John</w:t>
            </w:r>
          </w:p>
        </w:tc>
      </w:tr>
      <w:tr w:rsidR="00DF093E" w:rsidRPr="001356F1" w14:paraId="751FDC0E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15FB8FB" w14:textId="77777777"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0486A3A" w14:textId="77777777" w:rsidR="00E87F7A" w:rsidRPr="001356F1" w:rsidRDefault="001B0EDD" w:rsidP="00A46E98">
            <w:r>
              <w:t>Electoral Services Manager</w:t>
            </w:r>
          </w:p>
        </w:tc>
      </w:tr>
      <w:tr w:rsidR="00DF093E" w:rsidRPr="001356F1" w14:paraId="55BA271E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249ECA3" w14:textId="77777777"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908127D" w14:textId="77777777" w:rsidR="00E87F7A" w:rsidRPr="001356F1" w:rsidRDefault="001B0EDD" w:rsidP="00A46E98">
            <w:r>
              <w:t>Law and Governance</w:t>
            </w:r>
          </w:p>
        </w:tc>
      </w:tr>
      <w:tr w:rsidR="00DF093E" w:rsidRPr="001356F1" w14:paraId="0746BD25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17B7E57" w14:textId="77777777"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9AAC4A4" w14:textId="77777777" w:rsidR="00E87F7A" w:rsidRPr="001356F1" w:rsidRDefault="00E87F7A" w:rsidP="001B0EDD">
            <w:r w:rsidRPr="001356F1">
              <w:t xml:space="preserve">01865 </w:t>
            </w:r>
            <w:r w:rsidR="001B0EDD">
              <w:t>252518</w:t>
            </w:r>
            <w:r w:rsidRPr="001356F1">
              <w:t xml:space="preserve"> </w:t>
            </w:r>
          </w:p>
        </w:tc>
      </w:tr>
      <w:tr w:rsidR="005570B5" w:rsidRPr="001356F1" w14:paraId="7C26E5B6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FD2E7B1" w14:textId="77777777"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0F546F" w14:textId="77777777" w:rsidR="00E87F7A" w:rsidRPr="001356F1" w:rsidRDefault="001B0EDD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mjohn@oxford.gov.uk</w:t>
            </w:r>
          </w:p>
        </w:tc>
      </w:tr>
    </w:tbl>
    <w:p w14:paraId="7B476A94" w14:textId="77777777"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14:paraId="497754CA" w14:textId="77777777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DD0AC85" w14:textId="77777777"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14:paraId="01FCA792" w14:textId="77777777" w:rsidR="00CE4C87" w:rsidRDefault="00CE4C87" w:rsidP="0093067A"/>
    <w:p w14:paraId="361E3AC7" w14:textId="77777777" w:rsidR="004456DD" w:rsidRPr="009E51FC" w:rsidRDefault="004456DD" w:rsidP="0093067A"/>
    <w:sectPr w:rsidR="004456DD" w:rsidRPr="009E51FC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4063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28CDA" w14:textId="77777777" w:rsidR="003336FC" w:rsidRDefault="003336FC" w:rsidP="004A6D2F">
      <w:r>
        <w:separator/>
      </w:r>
    </w:p>
  </w:endnote>
  <w:endnote w:type="continuationSeparator" w:id="0">
    <w:p w14:paraId="58E30896" w14:textId="77777777" w:rsidR="003336FC" w:rsidRDefault="003336FC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C9D1C" w14:textId="77777777" w:rsidR="003336FC" w:rsidRDefault="003336FC" w:rsidP="004A6D2F">
    <w:pPr>
      <w:pStyle w:val="Footer"/>
    </w:pPr>
    <w:r>
      <w:t>Do not use a footer or page numbers.</w:t>
    </w:r>
  </w:p>
  <w:p w14:paraId="49B4295B" w14:textId="77777777" w:rsidR="003336FC" w:rsidRDefault="003336FC" w:rsidP="004A6D2F">
    <w:pPr>
      <w:pStyle w:val="Footer"/>
    </w:pPr>
  </w:p>
  <w:p w14:paraId="1FA352B1" w14:textId="77777777" w:rsidR="003336FC" w:rsidRDefault="003336FC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FFD91" w14:textId="77777777" w:rsidR="003336FC" w:rsidRDefault="003336FC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46702" w14:textId="77777777" w:rsidR="003336FC" w:rsidRDefault="003336FC" w:rsidP="004A6D2F">
      <w:r>
        <w:separator/>
      </w:r>
    </w:p>
  </w:footnote>
  <w:footnote w:type="continuationSeparator" w:id="0">
    <w:p w14:paraId="78B15870" w14:textId="77777777" w:rsidR="003336FC" w:rsidRDefault="003336FC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740A7" w14:textId="77777777" w:rsidR="003336FC" w:rsidRDefault="003336FC" w:rsidP="00D5547E">
    <w:pPr>
      <w:pStyle w:val="Header"/>
      <w:jc w:val="right"/>
    </w:pPr>
    <w:r>
      <w:rPr>
        <w:noProof/>
      </w:rPr>
      <w:drawing>
        <wp:inline distT="0" distB="0" distL="0" distR="0" wp14:anchorId="211F0FE3" wp14:editId="3FB12D1D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263A6A"/>
    <w:multiLevelType w:val="multilevel"/>
    <w:tmpl w:val="43D6D2FA"/>
    <w:numStyleLink w:val="StyleBulletedSymbolsymbolLeft063cmHanging063cm"/>
  </w:abstractNum>
  <w:abstractNum w:abstractNumId="18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73891"/>
    <w:multiLevelType w:val="hybridMultilevel"/>
    <w:tmpl w:val="984AC77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BA5FD8"/>
    <w:multiLevelType w:val="multilevel"/>
    <w:tmpl w:val="43D6D2FA"/>
    <w:numStyleLink w:val="StyleBulletedSymbolsymbolLeft063cmHanging063cm"/>
  </w:abstractNum>
  <w:abstractNum w:abstractNumId="28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22831"/>
    <w:multiLevelType w:val="multilevel"/>
    <w:tmpl w:val="43D6D2FA"/>
    <w:numStyleLink w:val="StyleBulletedSymbolsymbolLeft063cmHanging063cm"/>
  </w:abstractNum>
  <w:abstractNum w:abstractNumId="3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8365C6"/>
    <w:multiLevelType w:val="multilevel"/>
    <w:tmpl w:val="E67CE66C"/>
    <w:numStyleLink w:val="StyleNumberedLeft0cmHanging075cm"/>
  </w:abstractNum>
  <w:num w:numId="1">
    <w:abstractNumId w:val="26"/>
  </w:num>
  <w:num w:numId="2">
    <w:abstractNumId w:val="31"/>
  </w:num>
  <w:num w:numId="3">
    <w:abstractNumId w:val="22"/>
  </w:num>
  <w:num w:numId="4">
    <w:abstractNumId w:val="18"/>
  </w:num>
  <w:num w:numId="5">
    <w:abstractNumId w:val="28"/>
  </w:num>
  <w:num w:numId="6">
    <w:abstractNumId w:val="32"/>
  </w:num>
  <w:num w:numId="7">
    <w:abstractNumId w:val="21"/>
  </w:num>
  <w:num w:numId="8">
    <w:abstractNumId w:val="19"/>
  </w:num>
  <w:num w:numId="9">
    <w:abstractNumId w:val="13"/>
  </w:num>
  <w:num w:numId="10">
    <w:abstractNumId w:val="15"/>
  </w:num>
  <w:num w:numId="11">
    <w:abstractNumId w:val="24"/>
  </w:num>
  <w:num w:numId="12">
    <w:abstractNumId w:val="23"/>
  </w:num>
  <w:num w:numId="13">
    <w:abstractNumId w:val="10"/>
  </w:num>
  <w:num w:numId="14">
    <w:abstractNumId w:val="33"/>
  </w:num>
  <w:num w:numId="15">
    <w:abstractNumId w:val="16"/>
  </w:num>
  <w:num w:numId="16">
    <w:abstractNumId w:val="11"/>
  </w:num>
  <w:num w:numId="17">
    <w:abstractNumId w:val="27"/>
  </w:num>
  <w:num w:numId="18">
    <w:abstractNumId w:val="12"/>
  </w:num>
  <w:num w:numId="19">
    <w:abstractNumId w:val="29"/>
  </w:num>
  <w:num w:numId="20">
    <w:abstractNumId w:val="17"/>
  </w:num>
  <w:num w:numId="21">
    <w:abstractNumId w:val="20"/>
  </w:num>
  <w:num w:numId="22">
    <w:abstractNumId w:val="14"/>
  </w:num>
  <w:num w:numId="23">
    <w:abstractNumId w:val="30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5"/>
  </w:num>
  <w:numIdMacAtCleanup w:val="5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22"/>
    <w:rsid w:val="000117D4"/>
    <w:rsid w:val="000314D7"/>
    <w:rsid w:val="00045F8B"/>
    <w:rsid w:val="00046D2B"/>
    <w:rsid w:val="00056263"/>
    <w:rsid w:val="00064D8A"/>
    <w:rsid w:val="00064F82"/>
    <w:rsid w:val="00066510"/>
    <w:rsid w:val="00077523"/>
    <w:rsid w:val="00094291"/>
    <w:rsid w:val="000A1456"/>
    <w:rsid w:val="000A50AF"/>
    <w:rsid w:val="000C089F"/>
    <w:rsid w:val="000C3928"/>
    <w:rsid w:val="000C5E8E"/>
    <w:rsid w:val="000F4751"/>
    <w:rsid w:val="0010524C"/>
    <w:rsid w:val="00111FB1"/>
    <w:rsid w:val="00113418"/>
    <w:rsid w:val="0011454D"/>
    <w:rsid w:val="001356F1"/>
    <w:rsid w:val="00136994"/>
    <w:rsid w:val="0014128E"/>
    <w:rsid w:val="00151888"/>
    <w:rsid w:val="00163A03"/>
    <w:rsid w:val="00170A2D"/>
    <w:rsid w:val="001808BC"/>
    <w:rsid w:val="00182B81"/>
    <w:rsid w:val="00183507"/>
    <w:rsid w:val="0018619D"/>
    <w:rsid w:val="001A011E"/>
    <w:rsid w:val="001A066A"/>
    <w:rsid w:val="001A13E6"/>
    <w:rsid w:val="001A5731"/>
    <w:rsid w:val="001B0EDD"/>
    <w:rsid w:val="001B42C3"/>
    <w:rsid w:val="001C5D5E"/>
    <w:rsid w:val="001D678D"/>
    <w:rsid w:val="001E03F8"/>
    <w:rsid w:val="001E1678"/>
    <w:rsid w:val="001E3376"/>
    <w:rsid w:val="002069B3"/>
    <w:rsid w:val="00216CA1"/>
    <w:rsid w:val="002329CF"/>
    <w:rsid w:val="00232F5B"/>
    <w:rsid w:val="00247C29"/>
    <w:rsid w:val="00260467"/>
    <w:rsid w:val="00263EA3"/>
    <w:rsid w:val="00284F85"/>
    <w:rsid w:val="00290915"/>
    <w:rsid w:val="002A22E2"/>
    <w:rsid w:val="002C64F7"/>
    <w:rsid w:val="002E33FA"/>
    <w:rsid w:val="002F41F2"/>
    <w:rsid w:val="00301BF3"/>
    <w:rsid w:val="0030208D"/>
    <w:rsid w:val="00323418"/>
    <w:rsid w:val="00330CA5"/>
    <w:rsid w:val="003336FC"/>
    <w:rsid w:val="003357BF"/>
    <w:rsid w:val="00345823"/>
    <w:rsid w:val="00351664"/>
    <w:rsid w:val="00353148"/>
    <w:rsid w:val="00364FAD"/>
    <w:rsid w:val="0036738F"/>
    <w:rsid w:val="0036759C"/>
    <w:rsid w:val="00367AE5"/>
    <w:rsid w:val="00367D71"/>
    <w:rsid w:val="0038150A"/>
    <w:rsid w:val="003B6645"/>
    <w:rsid w:val="003B6E75"/>
    <w:rsid w:val="003B7DA1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25"/>
    <w:rsid w:val="00433B96"/>
    <w:rsid w:val="004440F1"/>
    <w:rsid w:val="004456DD"/>
    <w:rsid w:val="00446CDF"/>
    <w:rsid w:val="004521B7"/>
    <w:rsid w:val="00462AB5"/>
    <w:rsid w:val="00465EAF"/>
    <w:rsid w:val="004738C5"/>
    <w:rsid w:val="004758B2"/>
    <w:rsid w:val="00487872"/>
    <w:rsid w:val="00491046"/>
    <w:rsid w:val="004A2AC7"/>
    <w:rsid w:val="004A6D2F"/>
    <w:rsid w:val="004C2887"/>
    <w:rsid w:val="004D2626"/>
    <w:rsid w:val="004D6E26"/>
    <w:rsid w:val="004D77D3"/>
    <w:rsid w:val="004E2959"/>
    <w:rsid w:val="004F20EF"/>
    <w:rsid w:val="0050321C"/>
    <w:rsid w:val="0054712D"/>
    <w:rsid w:val="00547EF6"/>
    <w:rsid w:val="005570B5"/>
    <w:rsid w:val="0056413F"/>
    <w:rsid w:val="00567E18"/>
    <w:rsid w:val="00575F5F"/>
    <w:rsid w:val="00581805"/>
    <w:rsid w:val="00583C42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E73D7"/>
    <w:rsid w:val="005F7F7E"/>
    <w:rsid w:val="00614693"/>
    <w:rsid w:val="00623C2F"/>
    <w:rsid w:val="00633578"/>
    <w:rsid w:val="00637068"/>
    <w:rsid w:val="00650811"/>
    <w:rsid w:val="00661D3E"/>
    <w:rsid w:val="00692627"/>
    <w:rsid w:val="006969E7"/>
    <w:rsid w:val="006A3643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13675"/>
    <w:rsid w:val="00715823"/>
    <w:rsid w:val="00737B93"/>
    <w:rsid w:val="00745BF0"/>
    <w:rsid w:val="007615FE"/>
    <w:rsid w:val="0076655C"/>
    <w:rsid w:val="007742DC"/>
    <w:rsid w:val="00791437"/>
    <w:rsid w:val="007B0C2C"/>
    <w:rsid w:val="007B278E"/>
    <w:rsid w:val="007C5C23"/>
    <w:rsid w:val="007C5E03"/>
    <w:rsid w:val="007E2A26"/>
    <w:rsid w:val="007F2348"/>
    <w:rsid w:val="00803F07"/>
    <w:rsid w:val="0080749A"/>
    <w:rsid w:val="00821FB8"/>
    <w:rsid w:val="00822ACD"/>
    <w:rsid w:val="00855C66"/>
    <w:rsid w:val="00871EE4"/>
    <w:rsid w:val="0087716D"/>
    <w:rsid w:val="008B293F"/>
    <w:rsid w:val="008B7371"/>
    <w:rsid w:val="008D3DDB"/>
    <w:rsid w:val="008E410F"/>
    <w:rsid w:val="008F573F"/>
    <w:rsid w:val="009031C3"/>
    <w:rsid w:val="009034EC"/>
    <w:rsid w:val="009105A5"/>
    <w:rsid w:val="0093067A"/>
    <w:rsid w:val="00941C60"/>
    <w:rsid w:val="00966D42"/>
    <w:rsid w:val="00971689"/>
    <w:rsid w:val="00973E90"/>
    <w:rsid w:val="00975B07"/>
    <w:rsid w:val="00980B4A"/>
    <w:rsid w:val="009A2719"/>
    <w:rsid w:val="009B75AA"/>
    <w:rsid w:val="009E3D0A"/>
    <w:rsid w:val="009E51FC"/>
    <w:rsid w:val="009F1D28"/>
    <w:rsid w:val="009F5EE8"/>
    <w:rsid w:val="009F7618"/>
    <w:rsid w:val="00A04D23"/>
    <w:rsid w:val="00A06766"/>
    <w:rsid w:val="00A13765"/>
    <w:rsid w:val="00A21B12"/>
    <w:rsid w:val="00A23F80"/>
    <w:rsid w:val="00A4348C"/>
    <w:rsid w:val="00A46E98"/>
    <w:rsid w:val="00A52F52"/>
    <w:rsid w:val="00A613AD"/>
    <w:rsid w:val="00A6352B"/>
    <w:rsid w:val="00A701B5"/>
    <w:rsid w:val="00A714BB"/>
    <w:rsid w:val="00A84422"/>
    <w:rsid w:val="00A92D8F"/>
    <w:rsid w:val="00AA6BA9"/>
    <w:rsid w:val="00AB2988"/>
    <w:rsid w:val="00AB7999"/>
    <w:rsid w:val="00AC57A4"/>
    <w:rsid w:val="00AD3292"/>
    <w:rsid w:val="00AE7AF0"/>
    <w:rsid w:val="00AF0467"/>
    <w:rsid w:val="00B500CA"/>
    <w:rsid w:val="00B75541"/>
    <w:rsid w:val="00B860E3"/>
    <w:rsid w:val="00B86314"/>
    <w:rsid w:val="00BA1C2E"/>
    <w:rsid w:val="00BC200B"/>
    <w:rsid w:val="00BC4756"/>
    <w:rsid w:val="00BC69A4"/>
    <w:rsid w:val="00BD7680"/>
    <w:rsid w:val="00BE0680"/>
    <w:rsid w:val="00BE305F"/>
    <w:rsid w:val="00BE7BA3"/>
    <w:rsid w:val="00BF5682"/>
    <w:rsid w:val="00BF7B09"/>
    <w:rsid w:val="00C20A95"/>
    <w:rsid w:val="00C2441C"/>
    <w:rsid w:val="00C2692F"/>
    <w:rsid w:val="00C3207C"/>
    <w:rsid w:val="00C400E1"/>
    <w:rsid w:val="00C41187"/>
    <w:rsid w:val="00C53EB7"/>
    <w:rsid w:val="00C63C31"/>
    <w:rsid w:val="00C64BB6"/>
    <w:rsid w:val="00C70C27"/>
    <w:rsid w:val="00C757A0"/>
    <w:rsid w:val="00C760DE"/>
    <w:rsid w:val="00C82630"/>
    <w:rsid w:val="00C85B4E"/>
    <w:rsid w:val="00C907F7"/>
    <w:rsid w:val="00CA2103"/>
    <w:rsid w:val="00CB6B99"/>
    <w:rsid w:val="00CB73E6"/>
    <w:rsid w:val="00CE4C87"/>
    <w:rsid w:val="00CE544A"/>
    <w:rsid w:val="00D11E1C"/>
    <w:rsid w:val="00D1350D"/>
    <w:rsid w:val="00D160B0"/>
    <w:rsid w:val="00D17F94"/>
    <w:rsid w:val="00D223FC"/>
    <w:rsid w:val="00D26D1E"/>
    <w:rsid w:val="00D474CF"/>
    <w:rsid w:val="00D5547E"/>
    <w:rsid w:val="00D84BB4"/>
    <w:rsid w:val="00D869A1"/>
    <w:rsid w:val="00D978B9"/>
    <w:rsid w:val="00DA413F"/>
    <w:rsid w:val="00DA4584"/>
    <w:rsid w:val="00DA614B"/>
    <w:rsid w:val="00DC2E66"/>
    <w:rsid w:val="00DC3060"/>
    <w:rsid w:val="00DE0FB2"/>
    <w:rsid w:val="00DE737D"/>
    <w:rsid w:val="00DF093E"/>
    <w:rsid w:val="00E01F42"/>
    <w:rsid w:val="00E075BC"/>
    <w:rsid w:val="00E206D6"/>
    <w:rsid w:val="00E25553"/>
    <w:rsid w:val="00E3074A"/>
    <w:rsid w:val="00E33557"/>
    <w:rsid w:val="00E3366E"/>
    <w:rsid w:val="00E52086"/>
    <w:rsid w:val="00E53B3F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EE38C4"/>
    <w:rsid w:val="00F05ECA"/>
    <w:rsid w:val="00F3566E"/>
    <w:rsid w:val="00F375FB"/>
    <w:rsid w:val="00F41AC1"/>
    <w:rsid w:val="00F41CBE"/>
    <w:rsid w:val="00F4367A"/>
    <w:rsid w:val="00F445B1"/>
    <w:rsid w:val="00F45CD4"/>
    <w:rsid w:val="00F66DCA"/>
    <w:rsid w:val="00F74F53"/>
    <w:rsid w:val="00F7606D"/>
    <w:rsid w:val="00F81670"/>
    <w:rsid w:val="00F82024"/>
    <w:rsid w:val="00F95BC9"/>
    <w:rsid w:val="00FA624C"/>
    <w:rsid w:val="00FC3BA4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16C2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/>
    <w:lsdException w:name="Subtitle" w:semiHidden="0" w:uiPriority="11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/>
    <w:lsdException w:name="Subtitle" w:semiHidden="0" w:uiPriority="11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ohn\Downloads\CEB%20report%20-%20blank%20template%20to%20be%20used%20from%20January%202016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176A-B6C4-4055-AED1-F7A3FBE4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 report - blank template to be used from January 2016 (2)</Template>
  <TotalTime>2</TotalTime>
  <Pages>4</Pages>
  <Words>696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ajbradley</dc:creator>
  <cp:lastModifiedBy>JMitchell</cp:lastModifiedBy>
  <cp:revision>3</cp:revision>
  <cp:lastPrinted>2015-07-03T12:50:00Z</cp:lastPrinted>
  <dcterms:created xsi:type="dcterms:W3CDTF">2018-02-28T10:33:00Z</dcterms:created>
  <dcterms:modified xsi:type="dcterms:W3CDTF">2018-03-06T14:52:00Z</dcterms:modified>
</cp:coreProperties>
</file>